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6FA00" w14:textId="030C7B59" w:rsidR="00961079" w:rsidRPr="0016394E" w:rsidRDefault="0016394E" w:rsidP="00FC2A3A">
      <w:pPr>
        <w:spacing w:beforeLines="100" w:before="312" w:afterLines="100" w:after="312"/>
        <w:ind w:firstLineChars="0" w:firstLine="0"/>
        <w:jc w:val="center"/>
        <w:rPr>
          <w:rFonts w:ascii="黑体" w:eastAsia="黑体" w:hAnsi="黑体" w:hint="eastAsia"/>
          <w:sz w:val="36"/>
          <w:szCs w:val="36"/>
        </w:rPr>
      </w:pPr>
      <w:r w:rsidRPr="0016394E">
        <w:rPr>
          <w:rFonts w:ascii="黑体" w:eastAsia="黑体" w:hAnsi="黑体" w:hint="eastAsia"/>
          <w:sz w:val="36"/>
          <w:szCs w:val="36"/>
        </w:rPr>
        <w:t>《</w:t>
      </w:r>
      <w:r w:rsidRPr="0016394E">
        <w:rPr>
          <w:rFonts w:ascii="黑体" w:eastAsia="黑体" w:hAnsi="黑体"/>
          <w:sz w:val="36"/>
          <w:szCs w:val="36"/>
        </w:rPr>
        <w:t>供应链配置与企业金融化水平</w:t>
      </w:r>
      <w:r w:rsidRPr="0016394E">
        <w:rPr>
          <w:rFonts w:ascii="黑体" w:eastAsia="黑体" w:hAnsi="黑体" w:hint="eastAsia"/>
          <w:sz w:val="36"/>
          <w:szCs w:val="36"/>
        </w:rPr>
        <w:t>》</w:t>
      </w:r>
      <w:r w:rsidR="00B14B62" w:rsidRPr="0016394E">
        <w:rPr>
          <w:rFonts w:ascii="黑体" w:eastAsia="黑体" w:hAnsi="黑体" w:hint="eastAsia"/>
          <w:sz w:val="36"/>
          <w:szCs w:val="36"/>
        </w:rPr>
        <w:t>附录</w:t>
      </w:r>
    </w:p>
    <w:p w14:paraId="4B846FC3" w14:textId="24B18AE9" w:rsidR="00B14B62" w:rsidRPr="0016394E" w:rsidRDefault="002D439C" w:rsidP="00393579">
      <w:pPr>
        <w:spacing w:beforeLines="50" w:before="156"/>
        <w:ind w:firstLine="420"/>
        <w:rPr>
          <w:rFonts w:ascii="黑体" w:eastAsia="黑体" w:hAnsi="黑体" w:hint="eastAsia"/>
          <w:sz w:val="21"/>
          <w:szCs w:val="21"/>
        </w:rPr>
      </w:pPr>
      <w:r>
        <w:rPr>
          <w:rFonts w:ascii="黑体" w:eastAsia="黑体" w:hAnsi="黑体" w:hint="eastAsia"/>
          <w:sz w:val="21"/>
          <w:szCs w:val="21"/>
        </w:rPr>
        <w:t>（一）</w:t>
      </w:r>
      <w:r w:rsidR="00B14B62" w:rsidRPr="0016394E">
        <w:rPr>
          <w:rFonts w:ascii="黑体" w:eastAsia="黑体" w:hAnsi="黑体" w:hint="eastAsia"/>
          <w:sz w:val="21"/>
          <w:szCs w:val="21"/>
        </w:rPr>
        <w:t>控制变量的详细介绍</w:t>
      </w:r>
    </w:p>
    <w:p w14:paraId="73138190" w14:textId="51869E81" w:rsidR="00B14B62" w:rsidRPr="00A310A1" w:rsidRDefault="00B14B62" w:rsidP="00B14B62">
      <w:pPr>
        <w:ind w:firstLine="420"/>
        <w:rPr>
          <w:rFonts w:ascii="黑体" w:eastAsia="黑体" w:hAnsi="黑体" w:hint="eastAsia"/>
          <w:sz w:val="21"/>
          <w:szCs w:val="21"/>
        </w:rPr>
      </w:pPr>
      <m:oMath>
        <m:r>
          <w:rPr>
            <w:rFonts w:ascii="Cambria Math" w:eastAsia="宋体" w:hAnsi="Cambria Math"/>
            <w:sz w:val="21"/>
            <w:szCs w:val="21"/>
          </w:rPr>
          <m:t>Contro</m:t>
        </m:r>
        <m:sSub>
          <m:sSubPr>
            <m:ctrlPr>
              <w:rPr>
                <w:rFonts w:ascii="Cambria Math" w:eastAsia="宋体" w:hAnsi="Cambria Math"/>
                <w:sz w:val="21"/>
                <w:szCs w:val="21"/>
              </w:rPr>
            </m:ctrlPr>
          </m:sSubPr>
          <m:e>
            <m:r>
              <w:rPr>
                <w:rFonts w:ascii="Cambria Math" w:eastAsia="宋体" w:hAnsi="Cambria Math"/>
                <w:sz w:val="21"/>
                <w:szCs w:val="21"/>
              </w:rPr>
              <m:t>l</m:t>
            </m:r>
          </m:e>
          <m:sub>
            <m:r>
              <w:rPr>
                <w:rFonts w:ascii="Cambria Math" w:eastAsia="宋体" w:hAnsi="Cambria Math"/>
                <w:sz w:val="21"/>
                <w:szCs w:val="21"/>
              </w:rPr>
              <m:t>it</m:t>
            </m:r>
          </m:sub>
        </m:sSub>
      </m:oMath>
      <w:r w:rsidRPr="00A310A1">
        <w:rPr>
          <w:rFonts w:ascii="Times New Roman" w:eastAsia="宋体" w:hAnsi="Times New Roman" w:hint="eastAsia"/>
          <w:sz w:val="21"/>
          <w:szCs w:val="21"/>
        </w:rPr>
        <w:t>是一系列企业层面的控制变量，本文选取如下控制变量：总资产周转率（</w:t>
      </w:r>
      <m:oMath>
        <m:r>
          <w:rPr>
            <w:rFonts w:ascii="Cambria Math" w:eastAsia="宋体" w:hAnsi="Cambria Math"/>
            <w:sz w:val="21"/>
            <w:szCs w:val="21"/>
          </w:rPr>
          <m:t>ATR</m:t>
        </m:r>
      </m:oMath>
      <w:r w:rsidRPr="00A310A1">
        <w:rPr>
          <w:rFonts w:ascii="Times New Roman" w:eastAsia="宋体" w:hAnsi="Times New Roman" w:hint="eastAsia"/>
          <w:sz w:val="21"/>
          <w:szCs w:val="21"/>
        </w:rPr>
        <w:t>），以营业收入在期末资产总额中的占比度量；产权性质（</w:t>
      </w:r>
      <m:oMath>
        <m:r>
          <w:rPr>
            <w:rFonts w:ascii="Cambria Math" w:eastAsia="宋体" w:hAnsi="Cambria Math"/>
            <w:sz w:val="21"/>
            <w:szCs w:val="21"/>
          </w:rPr>
          <m:t>SOE</m:t>
        </m:r>
      </m:oMath>
      <w:r w:rsidRPr="00A310A1">
        <w:rPr>
          <w:rFonts w:ascii="Times New Roman" w:eastAsia="宋体" w:hAnsi="Times New Roman" w:hint="eastAsia"/>
          <w:sz w:val="21"/>
          <w:szCs w:val="21"/>
        </w:rPr>
        <w:t>），若企业属于国有企业则取</w:t>
      </w:r>
      <w:r w:rsidRPr="00A310A1">
        <w:rPr>
          <w:rFonts w:ascii="Times New Roman" w:eastAsia="宋体" w:hAnsi="Times New Roman" w:hint="eastAsia"/>
          <w:sz w:val="21"/>
          <w:szCs w:val="21"/>
        </w:rPr>
        <w:t>1</w:t>
      </w:r>
      <w:r w:rsidRPr="00A310A1">
        <w:rPr>
          <w:rFonts w:ascii="Times New Roman" w:eastAsia="宋体" w:hAnsi="Times New Roman" w:hint="eastAsia"/>
          <w:sz w:val="21"/>
          <w:szCs w:val="21"/>
        </w:rPr>
        <w:t>，否则取</w:t>
      </w:r>
      <w:r w:rsidRPr="00A310A1">
        <w:rPr>
          <w:rFonts w:ascii="Times New Roman" w:eastAsia="宋体" w:hAnsi="Times New Roman" w:hint="eastAsia"/>
          <w:sz w:val="21"/>
          <w:szCs w:val="21"/>
        </w:rPr>
        <w:t>0</w:t>
      </w:r>
      <w:r w:rsidRPr="00A310A1">
        <w:rPr>
          <w:rFonts w:ascii="Times New Roman" w:eastAsia="宋体" w:hAnsi="Times New Roman" w:hint="eastAsia"/>
          <w:sz w:val="21"/>
          <w:szCs w:val="21"/>
        </w:rPr>
        <w:t>；总资产净利润率（</w:t>
      </w:r>
      <m:oMath>
        <m:r>
          <w:rPr>
            <w:rFonts w:ascii="Cambria Math" w:eastAsia="宋体" w:hAnsi="Cambria Math"/>
            <w:sz w:val="21"/>
            <w:szCs w:val="21"/>
          </w:rPr>
          <m:t>ROA</m:t>
        </m:r>
      </m:oMath>
      <w:r w:rsidRPr="00A310A1">
        <w:rPr>
          <w:rFonts w:ascii="Times New Roman" w:eastAsia="宋体" w:hAnsi="Times New Roman" w:hint="eastAsia"/>
          <w:sz w:val="21"/>
          <w:szCs w:val="21"/>
        </w:rPr>
        <w:t>），以企业净利润在总资产余额中所占比例度量，考虑到供应</w:t>
      </w:r>
      <w:proofErr w:type="gramStart"/>
      <w:r w:rsidRPr="00A310A1">
        <w:rPr>
          <w:rFonts w:ascii="Times New Roman" w:eastAsia="宋体" w:hAnsi="Times New Roman" w:hint="eastAsia"/>
          <w:sz w:val="21"/>
          <w:szCs w:val="21"/>
        </w:rPr>
        <w:t>链集中</w:t>
      </w:r>
      <w:proofErr w:type="gramEnd"/>
      <w:r w:rsidRPr="00A310A1">
        <w:rPr>
          <w:rFonts w:ascii="Times New Roman" w:eastAsia="宋体" w:hAnsi="Times New Roman" w:hint="eastAsia"/>
          <w:sz w:val="21"/>
          <w:szCs w:val="21"/>
        </w:rPr>
        <w:t>度可能会促进企业盈利能力的提升，从而影响企业管理层对于金融资源的配置，故将其纳入控制变量当中；现金资产比率（</w:t>
      </w:r>
      <m:oMath>
        <m:r>
          <w:rPr>
            <w:rFonts w:ascii="Cambria Math" w:eastAsia="宋体" w:hAnsi="Cambria Math"/>
            <w:sz w:val="21"/>
            <w:szCs w:val="21"/>
          </w:rPr>
          <m:t>Cashratio</m:t>
        </m:r>
      </m:oMath>
      <w:r w:rsidRPr="00A310A1">
        <w:rPr>
          <w:rFonts w:ascii="Times New Roman" w:eastAsia="宋体" w:hAnsi="Times New Roman" w:hint="eastAsia"/>
          <w:sz w:val="21"/>
          <w:szCs w:val="21"/>
        </w:rPr>
        <w:t>），采用企业期末现金及其等价物余额在资产总额中的占比进行测度，反映企业的即时变现能力；托宾</w:t>
      </w:r>
      <w:r w:rsidRPr="00A310A1">
        <w:rPr>
          <w:rFonts w:ascii="Times New Roman" w:eastAsia="宋体" w:hAnsi="Times New Roman" w:hint="eastAsia"/>
          <w:sz w:val="21"/>
          <w:szCs w:val="21"/>
        </w:rPr>
        <w:t>Q</w:t>
      </w:r>
      <w:r w:rsidRPr="00A310A1">
        <w:rPr>
          <w:rFonts w:ascii="Times New Roman" w:eastAsia="宋体" w:hAnsi="Times New Roman" w:hint="eastAsia"/>
          <w:sz w:val="21"/>
          <w:szCs w:val="21"/>
        </w:rPr>
        <w:t>值（</w:t>
      </w:r>
      <m:oMath>
        <m:r>
          <w:rPr>
            <w:rFonts w:ascii="Cambria Math" w:eastAsia="宋体" w:hAnsi="Cambria Math" w:hint="eastAsia"/>
            <w:sz w:val="21"/>
            <w:szCs w:val="21"/>
          </w:rPr>
          <m:t>T</m:t>
        </m:r>
        <m:r>
          <w:rPr>
            <w:rFonts w:ascii="Cambria Math" w:eastAsia="宋体" w:hAnsi="Cambria Math"/>
            <w:sz w:val="21"/>
            <w:szCs w:val="21"/>
          </w:rPr>
          <m:t>obinQ</m:t>
        </m:r>
      </m:oMath>
      <w:r w:rsidRPr="00A310A1">
        <w:rPr>
          <w:rFonts w:ascii="Times New Roman" w:eastAsia="宋体" w:hAnsi="Times New Roman" w:hint="eastAsia"/>
          <w:sz w:val="21"/>
          <w:szCs w:val="21"/>
        </w:rPr>
        <w:t>），采用市值与扣除无形资产净额和商誉净额后的资产合计的比值衡量，较高的托宾</w:t>
      </w:r>
      <w:r w:rsidRPr="00A310A1">
        <w:rPr>
          <w:rFonts w:ascii="Times New Roman" w:eastAsia="宋体" w:hAnsi="Times New Roman" w:hint="eastAsia"/>
          <w:sz w:val="21"/>
          <w:szCs w:val="21"/>
        </w:rPr>
        <w:t>Q</w:t>
      </w:r>
      <w:r w:rsidRPr="00A310A1">
        <w:rPr>
          <w:rFonts w:ascii="Times New Roman" w:eastAsia="宋体" w:hAnsi="Times New Roman" w:hint="eastAsia"/>
          <w:sz w:val="21"/>
          <w:szCs w:val="21"/>
        </w:rPr>
        <w:t>值意味着企业的投资回报率较高；企业规模（</w:t>
      </w:r>
      <m:oMath>
        <m:r>
          <w:rPr>
            <w:rFonts w:ascii="Cambria Math" w:eastAsia="宋体" w:hAnsi="Cambria Math"/>
            <w:sz w:val="21"/>
            <w:szCs w:val="21"/>
          </w:rPr>
          <m:t>Size</m:t>
        </m:r>
      </m:oMath>
      <w:r w:rsidRPr="00A310A1">
        <w:rPr>
          <w:rFonts w:ascii="Times New Roman" w:eastAsia="宋体" w:hAnsi="Times New Roman" w:hint="eastAsia"/>
          <w:sz w:val="21"/>
          <w:szCs w:val="21"/>
        </w:rPr>
        <w:t>），采用企业当年总资产度量。</w:t>
      </w:r>
    </w:p>
    <w:p w14:paraId="4480B9B7" w14:textId="6148A2B8" w:rsidR="00465368" w:rsidRPr="00393579" w:rsidRDefault="00465368" w:rsidP="00393579">
      <w:pPr>
        <w:spacing w:beforeLines="50" w:before="156"/>
        <w:ind w:firstLine="420"/>
        <w:rPr>
          <w:rFonts w:ascii="黑体" w:eastAsia="黑体" w:hAnsi="黑体" w:hint="eastAsia"/>
          <w:sz w:val="21"/>
          <w:szCs w:val="21"/>
        </w:rPr>
      </w:pPr>
      <w:r w:rsidRPr="00393579">
        <w:rPr>
          <w:rFonts w:ascii="黑体" w:eastAsia="黑体" w:hAnsi="黑体" w:hint="eastAsia"/>
          <w:sz w:val="21"/>
          <w:szCs w:val="21"/>
        </w:rPr>
        <w:t>（二）不确定性感知程度指标的测度方法</w:t>
      </w:r>
    </w:p>
    <w:p w14:paraId="32F24A7F" w14:textId="43233316" w:rsidR="00465368" w:rsidRPr="00393579" w:rsidRDefault="00465368" w:rsidP="00465368">
      <w:pPr>
        <w:snapToGrid w:val="0"/>
        <w:ind w:firstLine="420"/>
        <w:rPr>
          <w:rFonts w:ascii="Times New Roman" w:eastAsia="宋体" w:hAnsi="Times New Roman"/>
          <w:sz w:val="21"/>
          <w:szCs w:val="21"/>
        </w:rPr>
      </w:pPr>
      <w:r w:rsidRPr="00393579">
        <w:rPr>
          <w:rFonts w:ascii="Times New Roman" w:eastAsia="宋体" w:hAnsi="Times New Roman" w:hint="eastAsia"/>
          <w:sz w:val="21"/>
          <w:szCs w:val="21"/>
        </w:rPr>
        <w:t>在企业整体不确定性感知程度的测度基础上，我们剔除掉宏观政策层面的不确定性感知，仅保留微观层面的不确定性感知水平，参照聂辉华等（</w:t>
      </w:r>
      <w:r w:rsidRPr="00393579">
        <w:rPr>
          <w:rFonts w:ascii="Times New Roman" w:eastAsia="宋体" w:hAnsi="Times New Roman" w:hint="eastAsia"/>
          <w:sz w:val="21"/>
          <w:szCs w:val="21"/>
        </w:rPr>
        <w:t>2020</w:t>
      </w:r>
      <w:r w:rsidRPr="00393579">
        <w:rPr>
          <w:rFonts w:ascii="Times New Roman" w:eastAsia="宋体" w:hAnsi="Times New Roman" w:hint="eastAsia"/>
          <w:sz w:val="21"/>
          <w:szCs w:val="21"/>
        </w:rPr>
        <w:t>）设定经济政策的关键词，分别构造宏观和微观层面的不确定性感知指标如下</w:t>
      </w:r>
      <w:r w:rsidRPr="00393579">
        <w:rPr>
          <w:rStyle w:val="af4"/>
          <w:rFonts w:ascii="Times New Roman" w:eastAsia="宋体" w:hAnsi="Times New Roman"/>
          <w:sz w:val="21"/>
          <w:szCs w:val="21"/>
        </w:rPr>
        <w:footnoteReference w:id="1"/>
      </w:r>
      <w:r w:rsidRPr="00393579">
        <w:rPr>
          <w:rFonts w:ascii="Times New Roman" w:eastAsia="宋体" w:hAnsi="Times New Roman" w:hint="eastAsia"/>
          <w:sz w:val="21"/>
          <w:szCs w:val="21"/>
        </w:rPr>
        <w:t>：</w:t>
      </w:r>
    </w:p>
    <w:p w14:paraId="1420ADCD" w14:textId="27FE3782" w:rsidR="00465368" w:rsidRPr="00393579" w:rsidRDefault="00000000" w:rsidP="00465368">
      <w:pPr>
        <w:snapToGrid w:val="0"/>
        <w:ind w:firstLine="420"/>
        <w:rPr>
          <w:rFonts w:ascii="Times New Roman" w:eastAsia="宋体" w:hAnsi="Times New Roman"/>
          <w:sz w:val="21"/>
          <w:szCs w:val="21"/>
        </w:rPr>
      </w:pPr>
      <m:oMathPara>
        <m:oMath>
          <m:eqArr>
            <m:eqArrPr>
              <m:maxDist m:val="1"/>
              <m:ctrlPr>
                <w:rPr>
                  <w:rFonts w:ascii="Cambria Math" w:eastAsia="宋体" w:hAnsi="Cambria Math" w:cs="Times New Roman"/>
                  <w:i/>
                  <w:sz w:val="21"/>
                  <w:szCs w:val="21"/>
                </w:rPr>
              </m:ctrlPr>
            </m:eqArrPr>
            <m:e>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Uaware_mac</m:t>
                  </m:r>
                </m:e>
                <m:sub>
                  <m:r>
                    <w:rPr>
                      <w:rFonts w:ascii="Cambria Math" w:eastAsia="宋体" w:hAnsi="Cambria Math" w:cs="Times New Roman"/>
                      <w:sz w:val="21"/>
                      <w:szCs w:val="21"/>
                    </w:rPr>
                    <m:t>it</m:t>
                  </m:r>
                </m:sub>
              </m:sSub>
              <m:r>
                <w:rPr>
                  <w:rFonts w:ascii="Cambria Math" w:eastAsia="宋体" w:hAnsi="Cambria Math" w:cs="Times New Roman"/>
                  <w:sz w:val="21"/>
                  <w:szCs w:val="21"/>
                </w:rPr>
                <m:t>=</m:t>
              </m:r>
              <m:nary>
                <m:naryPr>
                  <m:chr m:val="∑"/>
                  <m:limLoc m:val="subSup"/>
                  <m:ctrlPr>
                    <w:rPr>
                      <w:rFonts w:ascii="Cambria Math" w:eastAsia="宋体" w:hAnsi="Cambria Math" w:cs="Times New Roman"/>
                      <w:i/>
                      <w:sz w:val="21"/>
                      <w:szCs w:val="21"/>
                    </w:rPr>
                  </m:ctrlPr>
                </m:naryPr>
                <m:sub>
                  <m:r>
                    <w:rPr>
                      <w:rFonts w:ascii="Cambria Math" w:eastAsia="宋体" w:hAnsi="Cambria Math" w:cs="Times New Roman"/>
                      <w:sz w:val="21"/>
                      <w:szCs w:val="21"/>
                    </w:rPr>
                    <m:t>s=1</m:t>
                  </m:r>
                </m:sub>
                <m:sup>
                  <m:r>
                    <w:rPr>
                      <w:rFonts w:ascii="Cambria Math" w:eastAsia="宋体" w:hAnsi="Cambria Math" w:cs="Times New Roman"/>
                      <w:sz w:val="21"/>
                      <w:szCs w:val="21"/>
                    </w:rPr>
                    <m:t>N</m:t>
                  </m:r>
                </m:sup>
                <m:e>
                  <m:d>
                    <m:dPr>
                      <m:begChr m:val="{"/>
                      <m:endChr m:val="}"/>
                      <m:ctrlPr>
                        <w:rPr>
                          <w:rFonts w:ascii="Cambria Math" w:eastAsia="宋体" w:hAnsi="Cambria Math" w:cs="Times New Roman"/>
                          <w:i/>
                          <w:sz w:val="21"/>
                          <w:szCs w:val="21"/>
                        </w:rPr>
                      </m:ctrlPr>
                    </m:dPr>
                    <m:e>
                      <m:f>
                        <m:fPr>
                          <m:ctrlPr>
                            <w:rPr>
                              <w:rFonts w:ascii="Cambria Math" w:eastAsia="宋体" w:hAnsi="Cambria Math" w:cs="Times New Roman"/>
                              <w:i/>
                              <w:sz w:val="21"/>
                              <w:szCs w:val="21"/>
                            </w:rPr>
                          </m:ctrlPr>
                        </m:fPr>
                        <m:num>
                          <m:r>
                            <w:rPr>
                              <w:rFonts w:ascii="Cambria Math" w:eastAsia="宋体" w:hAnsi="Cambria Math"/>
                              <w:sz w:val="21"/>
                              <w:szCs w:val="21"/>
                            </w:rPr>
                            <m:t>Uncertain</m:t>
                          </m:r>
                          <m:r>
                            <m:rPr>
                              <m:nor/>
                            </m:rPr>
                            <w:rPr>
                              <w:rFonts w:ascii="Times New Roman" w:eastAsia="宋体" w:hAnsi="Times New Roman"/>
                              <w:sz w:val="21"/>
                              <w:szCs w:val="21"/>
                            </w:rPr>
                            <m:t>_</m:t>
                          </m:r>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num>
                        <m:den>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den>
                      </m:f>
                      <m:r>
                        <w:rPr>
                          <w:rFonts w:ascii="Cambria Math" w:eastAsia="宋体" w:hAnsi="Cambria Math" w:cs="Times New Roman"/>
                          <w:sz w:val="21"/>
                          <w:szCs w:val="21"/>
                        </w:rPr>
                        <m:t>×1</m:t>
                      </m:r>
                      <m:d>
                        <m:dPr>
                          <m:begChr m:val="["/>
                          <m:endChr m:val="]"/>
                          <m:ctrlPr>
                            <w:rPr>
                              <w:rFonts w:ascii="Cambria Math" w:eastAsia="宋体" w:hAnsi="Cambria Math" w:cs="Times New Roman"/>
                              <w:i/>
                              <w:sz w:val="21"/>
                              <w:szCs w:val="21"/>
                            </w:rPr>
                          </m:ctrlPr>
                        </m:dPr>
                        <m:e>
                          <m:r>
                            <w:rPr>
                              <w:rFonts w:ascii="Cambria Math" w:eastAsia="宋体" w:hAnsi="Cambria Math" w:cs="Times New Roman"/>
                              <w:sz w:val="21"/>
                              <w:szCs w:val="21"/>
                            </w:rPr>
                            <m:t>s∈P</m:t>
                          </m:r>
                        </m:e>
                      </m:d>
                    </m:e>
                  </m:d>
                </m:e>
              </m:nary>
              <m:r>
                <w:rPr>
                  <w:rFonts w:ascii="Cambria Math" w:eastAsia="宋体" w:hAnsi="Cambria Math" w:cs="Times New Roman"/>
                  <w:sz w:val="21"/>
                  <w:szCs w:val="21"/>
                </w:rPr>
                <m:t xml:space="preserve"> #</m:t>
              </m:r>
              <m:d>
                <m:dPr>
                  <m:ctrlPr>
                    <w:rPr>
                      <w:rFonts w:ascii="Cambria Math" w:eastAsia="宋体" w:hAnsi="Cambria Math" w:cs="Times New Roman"/>
                      <w:i/>
                      <w:sz w:val="21"/>
                      <w:szCs w:val="21"/>
                    </w:rPr>
                  </m:ctrlPr>
                </m:dPr>
                <m:e>
                  <m:r>
                    <m:rPr>
                      <m:sty m:val="p"/>
                    </m:rPr>
                    <w:rPr>
                      <w:rFonts w:ascii="Cambria Math" w:eastAsia="宋体" w:hAnsi="Cambria Math" w:cs="Times New Roman" w:hint="eastAsia"/>
                      <w:sz w:val="21"/>
                      <w:szCs w:val="21"/>
                    </w:rPr>
                    <m:t>A</m:t>
                  </m:r>
                  <m:r>
                    <m:rPr>
                      <m:sty m:val="p"/>
                    </m:rPr>
                    <w:rPr>
                      <w:rFonts w:ascii="Cambria Math" w:eastAsia="宋体" w:hAnsi="Cambria Math" w:cs="Cambria Math"/>
                      <w:sz w:val="21"/>
                      <w:szCs w:val="21"/>
                    </w:rPr>
                    <m:t>-</m:t>
                  </m:r>
                  <m:r>
                    <m:rPr>
                      <m:sty m:val="p"/>
                    </m:rPr>
                    <w:rPr>
                      <w:rFonts w:ascii="Cambria Math" w:eastAsia="宋体" w:hAnsi="Cambria Math" w:cs="Times New Roman"/>
                      <w:sz w:val="21"/>
                      <w:szCs w:val="21"/>
                    </w:rPr>
                    <w:fldChar w:fldCharType="begin"/>
                  </m:r>
                  <m:r>
                    <m:rPr>
                      <m:sty m:val="p"/>
                    </m:rPr>
                    <w:rPr>
                      <w:rFonts w:ascii="Cambria Math" w:eastAsia="宋体" w:hAnsi="Cambria Math" w:cs="Times New Roman"/>
                      <w:sz w:val="21"/>
                      <w:szCs w:val="21"/>
                    </w:rPr>
                    <m:t xml:space="preserve"> AUTONUM  \* Arabic </m:t>
                  </m:r>
                  <m:r>
                    <m:rPr>
                      <m:sty m:val="p"/>
                    </m:rPr>
                    <w:rPr>
                      <w:rFonts w:ascii="Cambria Math" w:eastAsia="宋体" w:hAnsi="Cambria Math" w:cs="Times New Roman"/>
                      <w:sz w:val="21"/>
                      <w:szCs w:val="21"/>
                    </w:rPr>
                    <w:fldChar w:fldCharType="end"/>
                  </m:r>
                </m:e>
              </m:d>
            </m:e>
          </m:eqArr>
        </m:oMath>
      </m:oMathPara>
    </w:p>
    <w:p w14:paraId="44B845C6" w14:textId="2499B92B" w:rsidR="00465368" w:rsidRPr="00393579" w:rsidRDefault="00000000" w:rsidP="00465368">
      <w:pPr>
        <w:snapToGrid w:val="0"/>
        <w:ind w:firstLine="420"/>
        <w:rPr>
          <w:rFonts w:ascii="Times New Roman" w:eastAsia="宋体" w:hAnsi="Times New Roman"/>
          <w:sz w:val="21"/>
          <w:szCs w:val="21"/>
        </w:rPr>
      </w:pPr>
      <m:oMathPara>
        <m:oMath>
          <m:eqArr>
            <m:eqArrPr>
              <m:maxDist m:val="1"/>
              <m:ctrlPr>
                <w:rPr>
                  <w:rFonts w:ascii="Cambria Math" w:eastAsia="宋体" w:hAnsi="Cambria Math" w:cs="Times New Roman"/>
                  <w:i/>
                  <w:sz w:val="21"/>
                  <w:szCs w:val="21"/>
                </w:rPr>
              </m:ctrlPr>
            </m:eqArrPr>
            <m:e>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Uaware_mic</m:t>
                  </m:r>
                </m:e>
                <m:sub>
                  <m:r>
                    <w:rPr>
                      <w:rFonts w:ascii="Cambria Math" w:eastAsia="宋体" w:hAnsi="Cambria Math" w:cs="Times New Roman"/>
                      <w:sz w:val="21"/>
                      <w:szCs w:val="21"/>
                    </w:rPr>
                    <m:t>it</m:t>
                  </m:r>
                </m:sub>
              </m:sSub>
              <m:r>
                <w:rPr>
                  <w:rFonts w:ascii="Cambria Math" w:eastAsia="宋体" w:hAnsi="Cambria Math" w:cs="Times New Roman"/>
                  <w:sz w:val="21"/>
                  <w:szCs w:val="21"/>
                </w:rPr>
                <m:t>=</m:t>
              </m:r>
              <m:f>
                <m:fPr>
                  <m:ctrlPr>
                    <w:rPr>
                      <w:rFonts w:ascii="Cambria Math" w:eastAsia="宋体" w:hAnsi="Cambria Math" w:cs="Times New Roman"/>
                      <w:i/>
                      <w:sz w:val="21"/>
                      <w:szCs w:val="21"/>
                    </w:rPr>
                  </m:ctrlPr>
                </m:fPr>
                <m:num>
                  <m:r>
                    <w:rPr>
                      <w:rFonts w:ascii="Cambria Math" w:eastAsia="宋体" w:hAnsi="Cambria Math"/>
                      <w:sz w:val="21"/>
                      <w:szCs w:val="21"/>
                    </w:rPr>
                    <m:t>Uncertain</m:t>
                  </m:r>
                  <m:r>
                    <m:rPr>
                      <m:nor/>
                    </m:rPr>
                    <w:rPr>
                      <w:rFonts w:ascii="Times New Roman" w:eastAsia="宋体" w:hAnsi="Times New Roman"/>
                      <w:sz w:val="21"/>
                      <w:szCs w:val="21"/>
                    </w:rPr>
                    <m:t>_</m:t>
                  </m:r>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num>
                <m:den>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den>
              </m:f>
              <m:r>
                <w:rPr>
                  <w:rFonts w:ascii="Cambria Math" w:eastAsia="宋体" w:hAnsi="Cambria Math" w:cs="Times New Roman"/>
                  <w:sz w:val="21"/>
                  <w:szCs w:val="21"/>
                </w:rPr>
                <m:t>-</m:t>
              </m:r>
              <m:nary>
                <m:naryPr>
                  <m:chr m:val="∑"/>
                  <m:limLoc m:val="subSup"/>
                  <m:ctrlPr>
                    <w:rPr>
                      <w:rFonts w:ascii="Cambria Math" w:eastAsia="宋体" w:hAnsi="Cambria Math" w:cs="Times New Roman"/>
                      <w:i/>
                      <w:sz w:val="21"/>
                      <w:szCs w:val="21"/>
                    </w:rPr>
                  </m:ctrlPr>
                </m:naryPr>
                <m:sub>
                  <m:r>
                    <w:rPr>
                      <w:rFonts w:ascii="Cambria Math" w:eastAsia="宋体" w:hAnsi="Cambria Math" w:cs="Times New Roman"/>
                      <w:sz w:val="21"/>
                      <w:szCs w:val="21"/>
                    </w:rPr>
                    <m:t>s=1</m:t>
                  </m:r>
                </m:sub>
                <m:sup>
                  <m:r>
                    <w:rPr>
                      <w:rFonts w:ascii="Cambria Math" w:eastAsia="宋体" w:hAnsi="Cambria Math" w:cs="Times New Roman"/>
                      <w:sz w:val="21"/>
                      <w:szCs w:val="21"/>
                    </w:rPr>
                    <m:t>N</m:t>
                  </m:r>
                </m:sup>
                <m:e>
                  <m:d>
                    <m:dPr>
                      <m:begChr m:val="{"/>
                      <m:endChr m:val="}"/>
                      <m:ctrlPr>
                        <w:rPr>
                          <w:rFonts w:ascii="Cambria Math" w:eastAsia="宋体" w:hAnsi="Cambria Math" w:cs="Times New Roman"/>
                          <w:i/>
                          <w:sz w:val="21"/>
                          <w:szCs w:val="21"/>
                        </w:rPr>
                      </m:ctrlPr>
                    </m:dPr>
                    <m:e>
                      <m:f>
                        <m:fPr>
                          <m:ctrlPr>
                            <w:rPr>
                              <w:rFonts w:ascii="Cambria Math" w:eastAsia="宋体" w:hAnsi="Cambria Math" w:cs="Times New Roman"/>
                              <w:i/>
                              <w:sz w:val="21"/>
                              <w:szCs w:val="21"/>
                            </w:rPr>
                          </m:ctrlPr>
                        </m:fPr>
                        <m:num>
                          <m:r>
                            <w:rPr>
                              <w:rFonts w:ascii="Cambria Math" w:eastAsia="宋体" w:hAnsi="Cambria Math"/>
                              <w:sz w:val="21"/>
                              <w:szCs w:val="21"/>
                            </w:rPr>
                            <m:t>Uncertain</m:t>
                          </m:r>
                          <m:r>
                            <m:rPr>
                              <m:nor/>
                            </m:rPr>
                            <w:rPr>
                              <w:rFonts w:ascii="Times New Roman" w:eastAsia="宋体" w:hAnsi="Times New Roman"/>
                              <w:sz w:val="21"/>
                              <w:szCs w:val="21"/>
                            </w:rPr>
                            <m:t>_</m:t>
                          </m:r>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num>
                        <m:den>
                          <m:r>
                            <w:rPr>
                              <w:rFonts w:ascii="Cambria Math" w:eastAsia="宋体" w:hAnsi="Cambria Math"/>
                              <w:sz w:val="21"/>
                              <w:szCs w:val="21"/>
                            </w:rPr>
                            <m:t>word</m:t>
                          </m:r>
                          <m:sSub>
                            <m:sSubPr>
                              <m:ctrlPr>
                                <w:rPr>
                                  <w:rFonts w:ascii="Cambria Math" w:eastAsia="宋体" w:hAnsi="Cambria Math"/>
                                  <w:sz w:val="21"/>
                                  <w:szCs w:val="21"/>
                                </w:rPr>
                              </m:ctrlPr>
                            </m:sSubPr>
                            <m:e>
                              <m:r>
                                <w:rPr>
                                  <w:rFonts w:ascii="Cambria Math" w:eastAsia="宋体" w:hAnsi="Cambria Math"/>
                                  <w:sz w:val="21"/>
                                  <w:szCs w:val="21"/>
                                </w:rPr>
                                <m:t>s</m:t>
                              </m:r>
                            </m:e>
                            <m:sub>
                              <m:r>
                                <w:rPr>
                                  <w:rFonts w:ascii="Cambria Math" w:eastAsia="宋体" w:hAnsi="Cambria Math"/>
                                  <w:sz w:val="21"/>
                                  <w:szCs w:val="21"/>
                                </w:rPr>
                                <m:t>it</m:t>
                              </m:r>
                            </m:sub>
                          </m:sSub>
                        </m:den>
                      </m:f>
                      <m:r>
                        <w:rPr>
                          <w:rFonts w:ascii="Cambria Math" w:eastAsia="宋体" w:hAnsi="Cambria Math" w:cs="Times New Roman"/>
                          <w:sz w:val="21"/>
                          <w:szCs w:val="21"/>
                        </w:rPr>
                        <m:t>×1</m:t>
                      </m:r>
                      <m:d>
                        <m:dPr>
                          <m:begChr m:val="["/>
                          <m:endChr m:val="]"/>
                          <m:ctrlPr>
                            <w:rPr>
                              <w:rFonts w:ascii="Cambria Math" w:eastAsia="宋体" w:hAnsi="Cambria Math" w:cs="Times New Roman"/>
                              <w:i/>
                              <w:sz w:val="21"/>
                              <w:szCs w:val="21"/>
                            </w:rPr>
                          </m:ctrlPr>
                        </m:dPr>
                        <m:e>
                          <m:r>
                            <w:rPr>
                              <w:rFonts w:ascii="Cambria Math" w:eastAsia="宋体" w:hAnsi="Cambria Math" w:cs="Times New Roman"/>
                              <w:sz w:val="21"/>
                              <w:szCs w:val="21"/>
                            </w:rPr>
                            <m:t>s∈P</m:t>
                          </m:r>
                        </m:e>
                      </m:d>
                    </m:e>
                  </m:d>
                </m:e>
              </m:nary>
              <m:r>
                <w:rPr>
                  <w:rFonts w:ascii="Cambria Math" w:eastAsia="宋体" w:hAnsi="Cambria Math" w:cs="Times New Roman"/>
                  <w:sz w:val="21"/>
                  <w:szCs w:val="21"/>
                </w:rPr>
                <m:t xml:space="preserve"> #</m:t>
              </m:r>
              <m:d>
                <m:dPr>
                  <m:ctrlPr>
                    <w:rPr>
                      <w:rFonts w:ascii="Cambria Math" w:eastAsia="宋体" w:hAnsi="Cambria Math" w:cs="Times New Roman"/>
                      <w:i/>
                      <w:sz w:val="21"/>
                      <w:szCs w:val="21"/>
                    </w:rPr>
                  </m:ctrlPr>
                </m:dPr>
                <m:e>
                  <m:r>
                    <m:rPr>
                      <m:sty m:val="p"/>
                    </m:rPr>
                    <w:rPr>
                      <w:rFonts w:ascii="Cambria Math" w:eastAsia="宋体" w:hAnsi="Cambria Math" w:cs="Times New Roman"/>
                      <w:sz w:val="21"/>
                      <w:szCs w:val="21"/>
                    </w:rPr>
                    <m:t>A-</m:t>
                  </m:r>
                  <m:r>
                    <m:rPr>
                      <m:sty m:val="p"/>
                    </m:rPr>
                    <w:rPr>
                      <w:rFonts w:ascii="Cambria Math" w:eastAsia="宋体" w:hAnsi="Cambria Math" w:cs="Times New Roman"/>
                      <w:sz w:val="21"/>
                      <w:szCs w:val="21"/>
                    </w:rPr>
                    <w:fldChar w:fldCharType="begin"/>
                  </m:r>
                  <m:r>
                    <m:rPr>
                      <m:sty m:val="p"/>
                    </m:rPr>
                    <w:rPr>
                      <w:rFonts w:ascii="Cambria Math" w:eastAsia="宋体" w:hAnsi="Cambria Math" w:cs="Times New Roman"/>
                      <w:sz w:val="21"/>
                      <w:szCs w:val="21"/>
                    </w:rPr>
                    <m:t xml:space="preserve"> AUTONUM  \* Arabic </m:t>
                  </m:r>
                  <m:r>
                    <m:rPr>
                      <m:sty m:val="p"/>
                    </m:rPr>
                    <w:rPr>
                      <w:rFonts w:ascii="Cambria Math" w:eastAsia="宋体" w:hAnsi="Cambria Math" w:cs="Times New Roman"/>
                      <w:sz w:val="21"/>
                      <w:szCs w:val="21"/>
                    </w:rPr>
                    <w:fldChar w:fldCharType="end"/>
                  </m:r>
                </m:e>
              </m:d>
            </m:e>
          </m:eqArr>
        </m:oMath>
      </m:oMathPara>
    </w:p>
    <w:p w14:paraId="6C598E86" w14:textId="172EE2A9" w:rsidR="00465368" w:rsidRPr="00393579" w:rsidRDefault="00465368" w:rsidP="00465368">
      <w:pPr>
        <w:snapToGrid w:val="0"/>
        <w:ind w:firstLine="420"/>
        <w:rPr>
          <w:rFonts w:ascii="Times New Roman" w:eastAsia="宋体" w:hAnsi="Times New Roman"/>
          <w:sz w:val="21"/>
          <w:szCs w:val="21"/>
        </w:rPr>
      </w:pPr>
      <w:r w:rsidRPr="00393579">
        <w:rPr>
          <w:rFonts w:ascii="Times New Roman" w:eastAsia="宋体" w:hAnsi="Times New Roman" w:hint="eastAsia"/>
          <w:sz w:val="21"/>
          <w:szCs w:val="21"/>
        </w:rPr>
        <w:t>（</w:t>
      </w:r>
      <w:r w:rsidRPr="00393579">
        <w:rPr>
          <w:rFonts w:ascii="Times New Roman" w:eastAsia="宋体" w:hAnsi="Times New Roman" w:hint="eastAsia"/>
          <w:sz w:val="21"/>
          <w:szCs w:val="21"/>
        </w:rPr>
        <w:t>A-1</w:t>
      </w:r>
      <w:r w:rsidRPr="00393579">
        <w:rPr>
          <w:rFonts w:ascii="Times New Roman" w:eastAsia="宋体" w:hAnsi="Times New Roman" w:hint="eastAsia"/>
          <w:sz w:val="21"/>
          <w:szCs w:val="21"/>
        </w:rPr>
        <w:t>）、（</w:t>
      </w:r>
      <w:r w:rsidRPr="00393579">
        <w:rPr>
          <w:rFonts w:ascii="Times New Roman" w:eastAsia="宋体" w:hAnsi="Times New Roman" w:hint="eastAsia"/>
          <w:sz w:val="21"/>
          <w:szCs w:val="21"/>
        </w:rPr>
        <w:t>A-2</w:t>
      </w:r>
      <w:r w:rsidRPr="00393579">
        <w:rPr>
          <w:rFonts w:ascii="Times New Roman" w:eastAsia="宋体" w:hAnsi="Times New Roman" w:hint="eastAsia"/>
          <w:sz w:val="21"/>
          <w:szCs w:val="21"/>
        </w:rPr>
        <w:t>）式中：</w:t>
      </w:r>
      <m:oMath>
        <m:r>
          <w:rPr>
            <w:rFonts w:ascii="Cambria Math" w:eastAsia="宋体" w:hAnsi="Cambria Math"/>
            <w:sz w:val="21"/>
            <w:szCs w:val="21"/>
          </w:rPr>
          <m:t>s</m:t>
        </m:r>
      </m:oMath>
      <w:r w:rsidRPr="00393579">
        <w:rPr>
          <w:rFonts w:ascii="Times New Roman" w:eastAsia="宋体" w:hAnsi="Times New Roman" w:hint="eastAsia"/>
          <w:sz w:val="21"/>
          <w:szCs w:val="21"/>
        </w:rPr>
        <w:t>表示包含不确定关键词的句子，</w:t>
      </w:r>
      <m:oMath>
        <m:r>
          <w:rPr>
            <w:rFonts w:ascii="Cambria Math" w:eastAsia="宋体" w:hAnsi="Cambria Math"/>
            <w:sz w:val="21"/>
            <w:szCs w:val="21"/>
          </w:rPr>
          <m:t>P</m:t>
        </m:r>
      </m:oMath>
      <w:r w:rsidRPr="00393579">
        <w:rPr>
          <w:rFonts w:ascii="Times New Roman" w:eastAsia="宋体" w:hAnsi="Times New Roman" w:hint="eastAsia"/>
          <w:sz w:val="21"/>
          <w:szCs w:val="21"/>
        </w:rPr>
        <w:t>表示同时包含不确定性和宏观经济政策关键词的句子，</w:t>
      </w:r>
      <m:oMath>
        <m:r>
          <w:rPr>
            <w:rFonts w:ascii="Cambria Math" w:eastAsia="宋体" w:hAnsi="Cambria Math"/>
            <w:sz w:val="21"/>
            <w:szCs w:val="21"/>
          </w:rPr>
          <m:t>1</m:t>
        </m:r>
        <m:d>
          <m:dPr>
            <m:begChr m:val="["/>
            <m:endChr m:val="]"/>
            <m:ctrlPr>
              <w:rPr>
                <w:rFonts w:ascii="Cambria Math" w:eastAsia="宋体" w:hAnsi="Cambria Math"/>
                <w:sz w:val="21"/>
                <w:szCs w:val="21"/>
              </w:rPr>
            </m:ctrlPr>
          </m:dPr>
          <m:e>
            <m:r>
              <w:rPr>
                <w:rFonts w:ascii="Cambria Math" w:eastAsia="宋体" w:hAnsi="Cambria Math"/>
                <w:sz w:val="21"/>
                <w:szCs w:val="21"/>
              </w:rPr>
              <m:t>·</m:t>
            </m:r>
          </m:e>
        </m:d>
      </m:oMath>
      <w:r w:rsidRPr="00393579">
        <w:rPr>
          <w:rFonts w:ascii="Times New Roman" w:eastAsia="宋体" w:hAnsi="Times New Roman" w:hint="eastAsia"/>
          <w:sz w:val="21"/>
          <w:szCs w:val="21"/>
        </w:rPr>
        <w:t>是指示函数，</w:t>
      </w:r>
      <m:oMath>
        <m:r>
          <w:rPr>
            <w:rFonts w:ascii="Cambria Math" w:eastAsia="宋体" w:hAnsi="Cambria Math"/>
            <w:sz w:val="21"/>
            <w:szCs w:val="21"/>
          </w:rPr>
          <m:t>1</m:t>
        </m:r>
        <m:d>
          <m:dPr>
            <m:begChr m:val="["/>
            <m:endChr m:val="]"/>
            <m:ctrlPr>
              <w:rPr>
                <w:rFonts w:ascii="Cambria Math" w:eastAsia="宋体" w:hAnsi="Cambria Math"/>
                <w:sz w:val="21"/>
                <w:szCs w:val="21"/>
              </w:rPr>
            </m:ctrlPr>
          </m:dPr>
          <m:e>
            <m:r>
              <w:rPr>
                <w:rFonts w:ascii="Cambria Math" w:eastAsia="宋体" w:hAnsi="Cambria Math"/>
                <w:sz w:val="21"/>
                <w:szCs w:val="21"/>
              </w:rPr>
              <m:t>s∈P</m:t>
            </m:r>
          </m:e>
        </m:d>
      </m:oMath>
      <w:r w:rsidRPr="00393579">
        <w:rPr>
          <w:rFonts w:ascii="Times New Roman" w:eastAsia="宋体" w:hAnsi="Times New Roman" w:hint="eastAsia"/>
          <w:sz w:val="21"/>
          <w:szCs w:val="21"/>
        </w:rPr>
        <w:t>表示当一个句子同时包含不确定性和宏观经济政策关键词时则取</w:t>
      </w:r>
      <w:r w:rsidRPr="00393579">
        <w:rPr>
          <w:rFonts w:ascii="Times New Roman" w:eastAsia="宋体" w:hAnsi="Times New Roman" w:hint="eastAsia"/>
          <w:sz w:val="21"/>
          <w:szCs w:val="21"/>
        </w:rPr>
        <w:t>1</w:t>
      </w:r>
      <w:r w:rsidRPr="00393579">
        <w:rPr>
          <w:rFonts w:ascii="Times New Roman" w:eastAsia="宋体" w:hAnsi="Times New Roman" w:hint="eastAsia"/>
          <w:sz w:val="21"/>
          <w:szCs w:val="21"/>
        </w:rPr>
        <w:t>，否则取</w:t>
      </w:r>
      <w:r w:rsidRPr="00393579">
        <w:rPr>
          <w:rFonts w:ascii="Times New Roman" w:eastAsia="宋体" w:hAnsi="Times New Roman" w:hint="eastAsia"/>
          <w:sz w:val="21"/>
          <w:szCs w:val="21"/>
        </w:rPr>
        <w:t>0</w:t>
      </w:r>
      <w:r w:rsidRPr="00393579">
        <w:rPr>
          <w:rFonts w:ascii="Times New Roman" w:eastAsia="宋体" w:hAnsi="Times New Roman" w:hint="eastAsia"/>
          <w:sz w:val="21"/>
          <w:szCs w:val="21"/>
        </w:rPr>
        <w:t>，通过计算（</w:t>
      </w:r>
      <w:r w:rsidR="002B54BF" w:rsidRPr="00393579">
        <w:rPr>
          <w:rFonts w:ascii="Times New Roman" w:eastAsia="宋体" w:hAnsi="Times New Roman" w:hint="eastAsia"/>
          <w:sz w:val="21"/>
          <w:szCs w:val="21"/>
        </w:rPr>
        <w:t>A-1</w:t>
      </w:r>
      <w:r w:rsidRPr="00393579">
        <w:rPr>
          <w:rFonts w:ascii="Times New Roman" w:eastAsia="宋体" w:hAnsi="Times New Roman" w:hint="eastAsia"/>
          <w:sz w:val="21"/>
          <w:szCs w:val="21"/>
        </w:rPr>
        <w:t>）</w:t>
      </w:r>
      <w:proofErr w:type="gramStart"/>
      <w:r w:rsidRPr="00393579">
        <w:rPr>
          <w:rFonts w:ascii="Times New Roman" w:eastAsia="宋体" w:hAnsi="Times New Roman" w:hint="eastAsia"/>
          <w:sz w:val="21"/>
          <w:szCs w:val="21"/>
        </w:rPr>
        <w:t>式得到</w:t>
      </w:r>
      <w:proofErr w:type="gramEnd"/>
      <w:r w:rsidRPr="00393579">
        <w:rPr>
          <w:rFonts w:ascii="Times New Roman" w:eastAsia="宋体" w:hAnsi="Times New Roman" w:hint="eastAsia"/>
          <w:sz w:val="21"/>
          <w:szCs w:val="21"/>
        </w:rPr>
        <w:t>宏观维度的不确定性感知指标。考虑到微观层面涉及到企业生产、运营、销售和资金等多方面，关键词设置较为繁杂且难以全面覆盖，因此本文通过计算（</w:t>
      </w:r>
      <w:r w:rsidR="002B54BF" w:rsidRPr="00393579">
        <w:rPr>
          <w:rFonts w:ascii="Times New Roman" w:eastAsia="宋体" w:hAnsi="Times New Roman" w:hint="eastAsia"/>
          <w:sz w:val="21"/>
          <w:szCs w:val="21"/>
        </w:rPr>
        <w:t>A-2</w:t>
      </w:r>
      <w:r w:rsidRPr="00393579">
        <w:rPr>
          <w:rFonts w:ascii="Times New Roman" w:eastAsia="宋体" w:hAnsi="Times New Roman" w:hint="eastAsia"/>
          <w:sz w:val="21"/>
          <w:szCs w:val="21"/>
        </w:rPr>
        <w:t>）式间接得到微观层面不确定性感知指标。</w:t>
      </w:r>
    </w:p>
    <w:p w14:paraId="42BDA377" w14:textId="77777777" w:rsidR="00465368" w:rsidRDefault="00465368" w:rsidP="00465368">
      <w:pPr>
        <w:snapToGrid w:val="0"/>
        <w:ind w:firstLine="420"/>
        <w:rPr>
          <w:rFonts w:ascii="Times New Roman" w:eastAsia="宋体" w:hAnsi="Times New Roman"/>
          <w:szCs w:val="21"/>
        </w:rPr>
      </w:pPr>
      <w:r w:rsidRPr="00393579">
        <w:rPr>
          <w:rFonts w:ascii="Times New Roman" w:eastAsia="宋体" w:hAnsi="Times New Roman" w:hint="eastAsia"/>
          <w:sz w:val="21"/>
          <w:szCs w:val="21"/>
        </w:rPr>
        <w:t>考虑到本文探讨的核心问题是供应链配置对企业金融化的影响，我们基于供应链上下游企业间的交易关系，进一步构建需求端不确定性感知程度和供给端不确定性感知程度指标（陈雯、范茵子，</w:t>
      </w:r>
      <w:r w:rsidRPr="00393579">
        <w:rPr>
          <w:rFonts w:ascii="Times New Roman" w:eastAsia="宋体" w:hAnsi="Times New Roman" w:hint="eastAsia"/>
          <w:sz w:val="21"/>
          <w:szCs w:val="21"/>
        </w:rPr>
        <w:t>2024</w:t>
      </w:r>
      <w:r w:rsidRPr="00393579">
        <w:rPr>
          <w:rFonts w:ascii="Times New Roman" w:eastAsia="宋体" w:hAnsi="Times New Roman" w:hint="eastAsia"/>
          <w:sz w:val="21"/>
          <w:szCs w:val="21"/>
        </w:rPr>
        <w:t>）。具体地，首先，我们利用</w:t>
      </w:r>
      <w:r w:rsidRPr="00393579">
        <w:rPr>
          <w:rFonts w:ascii="Times New Roman" w:eastAsia="宋体" w:hAnsi="Times New Roman"/>
          <w:sz w:val="21"/>
          <w:szCs w:val="21"/>
        </w:rPr>
        <w:t>Python</w:t>
      </w:r>
      <w:r w:rsidRPr="00393579">
        <w:rPr>
          <w:rFonts w:ascii="Times New Roman" w:eastAsia="宋体" w:hAnsi="Times New Roman" w:hint="eastAsia"/>
          <w:sz w:val="21"/>
          <w:szCs w:val="21"/>
        </w:rPr>
        <w:t>对企业报告进行整句切分，计算报告的句子总数；其次，我们构建需求类、供给类和不确定性三类词典，通过正则表达式方法识别一个句子中是否同时包含需求类和不确定性类词汇（供给类和不确定性类词汇）</w:t>
      </w:r>
      <w:r w:rsidRPr="00393579">
        <w:rPr>
          <w:rStyle w:val="af4"/>
          <w:rFonts w:ascii="Times New Roman" w:eastAsia="宋体" w:hAnsi="Times New Roman"/>
          <w:sz w:val="21"/>
          <w:szCs w:val="21"/>
        </w:rPr>
        <w:footnoteReference w:id="2"/>
      </w:r>
      <w:r w:rsidRPr="00393579">
        <w:rPr>
          <w:rFonts w:ascii="Times New Roman" w:eastAsia="宋体" w:hAnsi="Times New Roman" w:hint="eastAsia"/>
          <w:sz w:val="21"/>
          <w:szCs w:val="21"/>
        </w:rPr>
        <w:t>；最后，计算该类句子数量在全文中的占比，作为需求端不确定性感知程度和供给端不确定性感知程度的代理变量，分别记为</w:t>
      </w:r>
      <m:oMath>
        <m:r>
          <w:rPr>
            <w:rFonts w:ascii="Cambria Math" w:eastAsia="宋体" w:hAnsi="Cambria Math"/>
            <w:sz w:val="21"/>
            <w:szCs w:val="21"/>
          </w:rPr>
          <m:t>Uaware_demand</m:t>
        </m:r>
      </m:oMath>
      <w:r w:rsidRPr="00393579">
        <w:rPr>
          <w:rFonts w:ascii="Times New Roman" w:eastAsia="宋体" w:hAnsi="Times New Roman" w:hint="eastAsia"/>
          <w:sz w:val="21"/>
          <w:szCs w:val="21"/>
        </w:rPr>
        <w:t>和</w:t>
      </w:r>
      <m:oMath>
        <m:r>
          <w:rPr>
            <w:rFonts w:ascii="Cambria Math" w:eastAsia="宋体" w:hAnsi="Cambria Math"/>
            <w:sz w:val="21"/>
            <w:szCs w:val="21"/>
          </w:rPr>
          <m:t>Uawar_supply</m:t>
        </m:r>
      </m:oMath>
      <w:r w:rsidRPr="00393579">
        <w:rPr>
          <w:rFonts w:ascii="Times New Roman" w:eastAsia="宋体" w:hAnsi="Times New Roman" w:hint="eastAsia"/>
          <w:sz w:val="21"/>
          <w:szCs w:val="21"/>
        </w:rPr>
        <w:t>。</w:t>
      </w:r>
    </w:p>
    <w:p w14:paraId="3F96AA8B" w14:textId="52C538F7" w:rsidR="00465368" w:rsidRPr="00A310A1" w:rsidRDefault="00465368" w:rsidP="00393579">
      <w:pPr>
        <w:spacing w:beforeLines="50" w:before="156"/>
        <w:ind w:firstLine="420"/>
        <w:rPr>
          <w:rFonts w:ascii="黑体" w:eastAsia="黑体" w:hAnsi="黑体" w:hint="eastAsia"/>
          <w:sz w:val="21"/>
          <w:szCs w:val="21"/>
        </w:rPr>
      </w:pPr>
      <w:r w:rsidRPr="00A310A1">
        <w:rPr>
          <w:rFonts w:ascii="黑体" w:eastAsia="黑体" w:hAnsi="黑体" w:hint="eastAsia"/>
          <w:sz w:val="21"/>
          <w:szCs w:val="21"/>
        </w:rPr>
        <w:t>（</w:t>
      </w:r>
      <w:r>
        <w:rPr>
          <w:rFonts w:ascii="黑体" w:eastAsia="黑体" w:hAnsi="黑体" w:hint="eastAsia"/>
          <w:sz w:val="21"/>
          <w:szCs w:val="21"/>
        </w:rPr>
        <w:t>三</w:t>
      </w:r>
      <w:r w:rsidRPr="00A310A1">
        <w:rPr>
          <w:rFonts w:ascii="黑体" w:eastAsia="黑体" w:hAnsi="黑体" w:hint="eastAsia"/>
          <w:sz w:val="21"/>
          <w:szCs w:val="21"/>
        </w:rPr>
        <w:t>）稳健性检验</w:t>
      </w:r>
    </w:p>
    <w:p w14:paraId="0C5EA5EE" w14:textId="77777777" w:rsidR="00B14B62" w:rsidRPr="00A310A1" w:rsidRDefault="00B14B62" w:rsidP="00B14B62">
      <w:pPr>
        <w:ind w:firstLine="420"/>
        <w:rPr>
          <w:rFonts w:ascii="Times New Roman" w:eastAsia="楷体" w:hAnsi="Times New Roman"/>
          <w:sz w:val="21"/>
          <w:szCs w:val="21"/>
        </w:rPr>
      </w:pPr>
      <w:r w:rsidRPr="00A310A1">
        <w:rPr>
          <w:rFonts w:ascii="Times New Roman" w:eastAsia="楷体" w:hAnsi="Times New Roman" w:hint="eastAsia"/>
          <w:sz w:val="21"/>
          <w:szCs w:val="21"/>
        </w:rPr>
        <w:t>1.</w:t>
      </w:r>
      <w:r w:rsidRPr="00A310A1">
        <w:rPr>
          <w:rFonts w:ascii="Times New Roman" w:eastAsia="楷体" w:hAnsi="Times New Roman" w:hint="eastAsia"/>
          <w:sz w:val="21"/>
          <w:szCs w:val="21"/>
        </w:rPr>
        <w:t>控制更多维度的固定效应</w:t>
      </w:r>
    </w:p>
    <w:p w14:paraId="26105263" w14:textId="77777777" w:rsidR="00B14B62" w:rsidRPr="00A310A1" w:rsidRDefault="00B14B62" w:rsidP="00B14B62">
      <w:pPr>
        <w:ind w:firstLine="420"/>
        <w:textAlignment w:val="center"/>
        <w:rPr>
          <w:rFonts w:ascii="Times New Roman" w:eastAsia="宋体" w:hAnsi="Times New Roman"/>
          <w:sz w:val="21"/>
          <w:szCs w:val="21"/>
        </w:rPr>
      </w:pPr>
      <w:r w:rsidRPr="00A310A1">
        <w:rPr>
          <w:rFonts w:ascii="Times New Roman" w:eastAsia="宋体" w:hAnsi="Times New Roman" w:hint="eastAsia"/>
          <w:sz w:val="21"/>
          <w:szCs w:val="21"/>
        </w:rPr>
        <w:t>为了控制随时间变化的行业层面因素对企业持有金融资产的影响，本文在基准模型基础上进一步控制行业</w:t>
      </w:r>
      <w:r w:rsidRPr="00A310A1">
        <w:rPr>
          <w:rFonts w:ascii="Times New Roman" w:eastAsia="宋体" w:hAnsi="Times New Roman" w:hint="eastAsia"/>
          <w:sz w:val="21"/>
          <w:szCs w:val="21"/>
        </w:rPr>
        <w:t>-</w:t>
      </w:r>
      <w:r w:rsidRPr="00A310A1">
        <w:rPr>
          <w:rFonts w:ascii="Times New Roman" w:eastAsia="宋体" w:hAnsi="Times New Roman" w:hint="eastAsia"/>
          <w:sz w:val="21"/>
          <w:szCs w:val="21"/>
        </w:rPr>
        <w:t>年份固定效应，回归结果汇报于附表</w:t>
      </w:r>
      <w:r w:rsidRPr="00A310A1">
        <w:rPr>
          <w:rFonts w:ascii="Times New Roman" w:eastAsia="宋体" w:hAnsi="Times New Roman" w:hint="eastAsia"/>
          <w:sz w:val="21"/>
          <w:szCs w:val="21"/>
        </w:rPr>
        <w:t>1 Panel A</w:t>
      </w:r>
      <w:r w:rsidRPr="00A310A1">
        <w:rPr>
          <w:rFonts w:ascii="Times New Roman" w:eastAsia="宋体" w:hAnsi="Times New Roman" w:hint="eastAsia"/>
          <w:sz w:val="21"/>
          <w:szCs w:val="21"/>
        </w:rPr>
        <w:t>和</w:t>
      </w:r>
      <w:r w:rsidRPr="00A310A1">
        <w:rPr>
          <w:rFonts w:ascii="Times New Roman" w:eastAsia="宋体" w:hAnsi="Times New Roman" w:hint="eastAsia"/>
          <w:sz w:val="21"/>
          <w:szCs w:val="21"/>
        </w:rPr>
        <w:t>Panel B</w:t>
      </w:r>
      <w:r w:rsidRPr="00A310A1">
        <w:rPr>
          <w:rFonts w:ascii="Times New Roman" w:eastAsia="宋体" w:hAnsi="Times New Roman" w:hint="eastAsia"/>
          <w:sz w:val="21"/>
          <w:szCs w:val="21"/>
        </w:rPr>
        <w:t>列</w:t>
      </w:r>
      <w:r w:rsidRPr="00A310A1">
        <w:rPr>
          <w:rFonts w:ascii="Times New Roman" w:eastAsia="宋体" w:hAnsi="Times New Roman" w:hint="eastAsia"/>
          <w:sz w:val="21"/>
          <w:szCs w:val="21"/>
        </w:rPr>
        <w:t>(1)</w:t>
      </w:r>
      <w:r w:rsidRPr="00A310A1">
        <w:rPr>
          <w:rStyle w:val="af4"/>
          <w:rFonts w:ascii="Times New Roman" w:eastAsia="宋体" w:hAnsi="Times New Roman"/>
          <w:sz w:val="21"/>
          <w:szCs w:val="21"/>
        </w:rPr>
        <w:footnoteReference w:id="3"/>
      </w:r>
      <w:r w:rsidRPr="00A310A1">
        <w:rPr>
          <w:rFonts w:ascii="Times New Roman" w:eastAsia="宋体" w:hAnsi="Times New Roman" w:hint="eastAsia"/>
          <w:sz w:val="21"/>
          <w:szCs w:val="21"/>
        </w:rPr>
        <w:t>。我们发现</w:t>
      </w:r>
      <m:oMath>
        <m:r>
          <w:rPr>
            <w:rFonts w:ascii="Cambria Math" w:eastAsia="宋体" w:hAnsi="Cambria Math"/>
            <w:sz w:val="21"/>
            <w:szCs w:val="21"/>
          </w:rPr>
          <m:t>Chain</m:t>
        </m:r>
      </m:oMath>
      <w:r w:rsidRPr="00A310A1">
        <w:rPr>
          <w:rFonts w:ascii="Times New Roman" w:eastAsia="宋体" w:hAnsi="Times New Roman" w:hint="eastAsia"/>
          <w:snapToGrid w:val="0"/>
          <w:sz w:val="21"/>
          <w:szCs w:val="21"/>
        </w:rPr>
        <w:t>的</w:t>
      </w:r>
      <w:r w:rsidRPr="00A310A1">
        <w:rPr>
          <w:rFonts w:ascii="Times New Roman" w:eastAsia="宋体" w:hAnsi="Times New Roman" w:hint="eastAsia"/>
          <w:sz w:val="21"/>
          <w:szCs w:val="21"/>
        </w:rPr>
        <w:t>回归系数均为正且通过</w:t>
      </w:r>
      <w:r w:rsidRPr="00A310A1">
        <w:rPr>
          <w:rFonts w:ascii="Times New Roman" w:eastAsia="宋体" w:hAnsi="Times New Roman" w:hint="eastAsia"/>
          <w:sz w:val="21"/>
          <w:szCs w:val="21"/>
        </w:rPr>
        <w:t>1%</w:t>
      </w:r>
      <w:r w:rsidRPr="00A310A1">
        <w:rPr>
          <w:rFonts w:ascii="Times New Roman" w:eastAsia="宋体" w:hAnsi="Times New Roman" w:hint="eastAsia"/>
          <w:sz w:val="21"/>
          <w:szCs w:val="21"/>
        </w:rPr>
        <w:t>水平的显著性检验，这说明供应</w:t>
      </w:r>
      <w:proofErr w:type="gramStart"/>
      <w:r w:rsidRPr="00A310A1">
        <w:rPr>
          <w:rFonts w:ascii="Times New Roman" w:eastAsia="宋体" w:hAnsi="Times New Roman" w:hint="eastAsia"/>
          <w:sz w:val="21"/>
          <w:szCs w:val="21"/>
        </w:rPr>
        <w:t>链集中</w:t>
      </w:r>
      <w:proofErr w:type="gramEnd"/>
      <w:r w:rsidRPr="00A310A1">
        <w:rPr>
          <w:rFonts w:ascii="Times New Roman" w:eastAsia="宋体" w:hAnsi="Times New Roman" w:hint="eastAsia"/>
          <w:sz w:val="21"/>
          <w:szCs w:val="21"/>
        </w:rPr>
        <w:t>度产生的“金</w:t>
      </w:r>
      <w:r w:rsidRPr="00A310A1">
        <w:rPr>
          <w:rFonts w:ascii="Times New Roman" w:eastAsia="宋体" w:hAnsi="Times New Roman" w:hint="eastAsia"/>
          <w:sz w:val="21"/>
          <w:szCs w:val="21"/>
        </w:rPr>
        <w:lastRenderedPageBreak/>
        <w:t>融化”效应不会受行业层面时变因素的影响，供应</w:t>
      </w:r>
      <w:proofErr w:type="gramStart"/>
      <w:r w:rsidRPr="00A310A1">
        <w:rPr>
          <w:rFonts w:ascii="Times New Roman" w:eastAsia="宋体" w:hAnsi="Times New Roman" w:hint="eastAsia"/>
          <w:sz w:val="21"/>
          <w:szCs w:val="21"/>
        </w:rPr>
        <w:t>链集中</w:t>
      </w:r>
      <w:proofErr w:type="gramEnd"/>
      <w:r w:rsidRPr="00A310A1">
        <w:rPr>
          <w:rFonts w:ascii="Times New Roman" w:eastAsia="宋体" w:hAnsi="Times New Roman" w:hint="eastAsia"/>
          <w:sz w:val="21"/>
          <w:szCs w:val="21"/>
        </w:rPr>
        <w:t>度会提高企业金融化水平以及加剧企业过度金融化这一核心结论是稳健的。</w:t>
      </w:r>
    </w:p>
    <w:p w14:paraId="5B3558E9" w14:textId="77777777" w:rsidR="00B14B62" w:rsidRPr="00A310A1" w:rsidRDefault="00B14B62" w:rsidP="00B14B62">
      <w:pPr>
        <w:ind w:firstLine="420"/>
        <w:rPr>
          <w:rFonts w:ascii="Times New Roman" w:eastAsia="楷体" w:hAnsi="Times New Roman"/>
          <w:sz w:val="21"/>
          <w:szCs w:val="21"/>
        </w:rPr>
      </w:pPr>
      <w:r w:rsidRPr="00A310A1">
        <w:rPr>
          <w:rFonts w:ascii="Times New Roman" w:eastAsia="楷体" w:hAnsi="Times New Roman" w:hint="eastAsia"/>
          <w:sz w:val="21"/>
          <w:szCs w:val="21"/>
        </w:rPr>
        <w:t>2.</w:t>
      </w:r>
      <w:r w:rsidRPr="00A310A1">
        <w:rPr>
          <w:rFonts w:ascii="Times New Roman" w:eastAsia="楷体" w:hAnsi="Times New Roman" w:hint="eastAsia"/>
          <w:sz w:val="21"/>
          <w:szCs w:val="21"/>
        </w:rPr>
        <w:t>调整聚类层级</w:t>
      </w:r>
    </w:p>
    <w:p w14:paraId="28A0BE49" w14:textId="77777777" w:rsidR="00B14B62" w:rsidRPr="00A310A1" w:rsidRDefault="00B14B62" w:rsidP="00B14B62">
      <w:pPr>
        <w:ind w:firstLine="420"/>
        <w:textAlignment w:val="center"/>
        <w:rPr>
          <w:rFonts w:ascii="Times New Roman" w:eastAsia="宋体" w:hAnsi="Times New Roman"/>
          <w:sz w:val="21"/>
          <w:szCs w:val="21"/>
        </w:rPr>
      </w:pPr>
      <w:r w:rsidRPr="00A310A1">
        <w:rPr>
          <w:rFonts w:ascii="Times New Roman" w:eastAsia="宋体" w:hAnsi="Times New Roman" w:hint="eastAsia"/>
          <w:sz w:val="21"/>
          <w:szCs w:val="21"/>
        </w:rPr>
        <w:t>考虑到同地区的企业可能面临的经济政策和市场规模具有较高的相似度，</w:t>
      </w:r>
      <w:proofErr w:type="gramStart"/>
      <w:r w:rsidRPr="00A310A1">
        <w:rPr>
          <w:rFonts w:ascii="Times New Roman" w:eastAsia="宋体" w:hAnsi="Times New Roman" w:hint="eastAsia"/>
          <w:sz w:val="21"/>
          <w:szCs w:val="21"/>
        </w:rPr>
        <w:t>进而同</w:t>
      </w:r>
      <w:proofErr w:type="gramEnd"/>
      <w:r w:rsidRPr="00A310A1">
        <w:rPr>
          <w:rFonts w:ascii="Times New Roman" w:eastAsia="宋体" w:hAnsi="Times New Roman" w:hint="eastAsia"/>
          <w:sz w:val="21"/>
          <w:szCs w:val="21"/>
        </w:rPr>
        <w:t>地区企业可能存在相互关联，为此，本文将标准误聚类到地区层面进行稳健性检验。从附表</w:t>
      </w:r>
      <w:r w:rsidRPr="00A310A1">
        <w:rPr>
          <w:rFonts w:ascii="Times New Roman" w:eastAsia="宋体" w:hAnsi="Times New Roman" w:hint="eastAsia"/>
          <w:sz w:val="21"/>
          <w:szCs w:val="21"/>
        </w:rPr>
        <w:t>1 Panel A</w:t>
      </w:r>
      <w:r w:rsidRPr="00A310A1">
        <w:rPr>
          <w:rFonts w:ascii="Times New Roman" w:eastAsia="宋体" w:hAnsi="Times New Roman" w:hint="eastAsia"/>
          <w:sz w:val="21"/>
          <w:szCs w:val="21"/>
        </w:rPr>
        <w:t>和</w:t>
      </w:r>
      <w:r w:rsidRPr="00A310A1">
        <w:rPr>
          <w:rFonts w:ascii="Times New Roman" w:eastAsia="宋体" w:hAnsi="Times New Roman" w:hint="eastAsia"/>
          <w:sz w:val="21"/>
          <w:szCs w:val="21"/>
        </w:rPr>
        <w:t>Panel B</w:t>
      </w:r>
      <w:r w:rsidRPr="00A310A1">
        <w:rPr>
          <w:rFonts w:ascii="Times New Roman" w:eastAsia="宋体" w:hAnsi="Times New Roman" w:hint="eastAsia"/>
          <w:sz w:val="21"/>
          <w:szCs w:val="21"/>
        </w:rPr>
        <w:t>列</w:t>
      </w:r>
      <w:r w:rsidRPr="00A310A1">
        <w:rPr>
          <w:rFonts w:ascii="Times New Roman" w:eastAsia="宋体" w:hAnsi="Times New Roman" w:hint="eastAsia"/>
          <w:sz w:val="21"/>
          <w:szCs w:val="21"/>
        </w:rPr>
        <w:t>(2)</w:t>
      </w:r>
      <w:r w:rsidRPr="00A310A1">
        <w:rPr>
          <w:rStyle w:val="af4"/>
          <w:rFonts w:ascii="Times New Roman" w:eastAsia="宋体" w:hAnsi="Times New Roman"/>
          <w:sz w:val="21"/>
          <w:szCs w:val="21"/>
        </w:rPr>
        <w:footnoteReference w:id="4"/>
      </w:r>
      <w:r w:rsidRPr="00A310A1">
        <w:rPr>
          <w:rFonts w:ascii="Times New Roman" w:eastAsia="宋体" w:hAnsi="Times New Roman" w:hint="eastAsia"/>
          <w:sz w:val="21"/>
          <w:szCs w:val="21"/>
        </w:rPr>
        <w:t>可以发现，本文的核心结论在调整聚类层级后仍然成立，</w:t>
      </w:r>
      <w:proofErr w:type="gramStart"/>
      <w:r w:rsidRPr="00A310A1">
        <w:rPr>
          <w:rFonts w:ascii="Times New Roman" w:eastAsia="宋体" w:hAnsi="Times New Roman" w:hint="eastAsia"/>
          <w:sz w:val="21"/>
          <w:szCs w:val="21"/>
        </w:rPr>
        <w:t>即供应链集中</w:t>
      </w:r>
      <w:proofErr w:type="gramEnd"/>
      <w:r w:rsidRPr="00A310A1">
        <w:rPr>
          <w:rFonts w:ascii="Times New Roman" w:eastAsia="宋体" w:hAnsi="Times New Roman" w:hint="eastAsia"/>
          <w:sz w:val="21"/>
          <w:szCs w:val="21"/>
        </w:rPr>
        <w:t>度</w:t>
      </w:r>
      <w:r w:rsidRPr="00A310A1">
        <w:rPr>
          <w:rFonts w:ascii="Times New Roman" w:eastAsia="宋体" w:hAnsi="Times New Roman" w:hint="eastAsia"/>
          <w:snapToGrid w:val="0"/>
          <w:sz w:val="21"/>
          <w:szCs w:val="21"/>
        </w:rPr>
        <w:t>会明显提高企业金融化和过度金融化水平，进一步加剧经济“脱实向虚”问题</w:t>
      </w:r>
      <w:r w:rsidRPr="00A310A1">
        <w:rPr>
          <w:rFonts w:ascii="Times New Roman" w:eastAsia="宋体" w:hAnsi="Times New Roman" w:hint="eastAsia"/>
          <w:sz w:val="21"/>
          <w:szCs w:val="21"/>
        </w:rPr>
        <w:t>。</w:t>
      </w:r>
    </w:p>
    <w:p w14:paraId="39B0AF9E" w14:textId="77777777" w:rsidR="00B14B62" w:rsidRPr="00A310A1" w:rsidRDefault="00B14B62" w:rsidP="00B14B62">
      <w:pPr>
        <w:ind w:firstLine="420"/>
        <w:rPr>
          <w:rFonts w:ascii="Times New Roman" w:eastAsia="楷体" w:hAnsi="Times New Roman"/>
          <w:sz w:val="21"/>
          <w:szCs w:val="21"/>
        </w:rPr>
      </w:pPr>
      <w:r w:rsidRPr="00A310A1">
        <w:rPr>
          <w:rFonts w:ascii="Times New Roman" w:eastAsia="楷体" w:hAnsi="Times New Roman" w:hint="eastAsia"/>
          <w:sz w:val="21"/>
          <w:szCs w:val="21"/>
        </w:rPr>
        <w:t>3.</w:t>
      </w:r>
      <w:r w:rsidRPr="00A310A1">
        <w:rPr>
          <w:rFonts w:ascii="Times New Roman" w:eastAsia="楷体" w:hAnsi="Times New Roman" w:hint="eastAsia"/>
          <w:sz w:val="21"/>
          <w:szCs w:val="21"/>
        </w:rPr>
        <w:t>更换核心变量的测度方法</w:t>
      </w:r>
    </w:p>
    <w:p w14:paraId="4A4E039C" w14:textId="77777777" w:rsidR="00B14B62" w:rsidRPr="00A310A1" w:rsidRDefault="00B14B62" w:rsidP="00B14B62">
      <w:pPr>
        <w:ind w:firstLine="420"/>
        <w:textAlignment w:val="center"/>
        <w:rPr>
          <w:rFonts w:ascii="Times New Roman" w:eastAsia="宋体" w:hAnsi="Times New Roman"/>
          <w:sz w:val="21"/>
          <w:szCs w:val="21"/>
        </w:rPr>
      </w:pPr>
      <w:r w:rsidRPr="00A310A1">
        <w:rPr>
          <w:rFonts w:ascii="Times New Roman" w:eastAsia="宋体" w:hAnsi="Times New Roman" w:hint="eastAsia"/>
          <w:snapToGrid w:val="0"/>
          <w:sz w:val="21"/>
          <w:szCs w:val="21"/>
        </w:rPr>
        <w:t>一方面，我们借鉴孟庆玺等（</w:t>
      </w:r>
      <w:r w:rsidRPr="00A310A1">
        <w:rPr>
          <w:rFonts w:ascii="Times New Roman" w:eastAsia="宋体" w:hAnsi="Times New Roman" w:hint="eastAsia"/>
          <w:snapToGrid w:val="0"/>
          <w:sz w:val="21"/>
          <w:szCs w:val="21"/>
        </w:rPr>
        <w:t>2018</w:t>
      </w:r>
      <w:r w:rsidRPr="00A310A1">
        <w:rPr>
          <w:rFonts w:ascii="Times New Roman" w:eastAsia="宋体" w:hAnsi="Times New Roman" w:hint="eastAsia"/>
          <w:snapToGrid w:val="0"/>
          <w:sz w:val="21"/>
          <w:szCs w:val="21"/>
        </w:rPr>
        <w:t>）的测度方法，根据第一大客户和供应商的销售额占比重新构建解释变量</w:t>
      </w:r>
      <w:r w:rsidRPr="00A310A1">
        <w:rPr>
          <w:rFonts w:ascii="Times New Roman" w:eastAsia="宋体" w:hAnsi="Times New Roman" w:hint="eastAsia"/>
          <w:sz w:val="21"/>
          <w:szCs w:val="21"/>
        </w:rPr>
        <w:t>。</w:t>
      </w:r>
      <w:r w:rsidRPr="00A310A1">
        <w:rPr>
          <w:rFonts w:ascii="Times New Roman" w:eastAsia="宋体" w:hAnsi="Times New Roman" w:hint="eastAsia"/>
          <w:snapToGrid w:val="0"/>
          <w:sz w:val="21"/>
          <w:szCs w:val="21"/>
        </w:rPr>
        <w:t>另一方面，我们重新构建过度金融化程度指标</w:t>
      </w:r>
      <w:r w:rsidRPr="00A310A1">
        <w:rPr>
          <w:rStyle w:val="af4"/>
          <w:rFonts w:ascii="Times New Roman" w:eastAsia="宋体" w:hAnsi="Times New Roman"/>
          <w:sz w:val="21"/>
          <w:szCs w:val="21"/>
        </w:rPr>
        <w:footnoteReference w:id="5"/>
      </w:r>
      <w:r w:rsidRPr="00A310A1">
        <w:rPr>
          <w:rFonts w:ascii="Times New Roman" w:eastAsia="宋体" w:hAnsi="Times New Roman" w:hint="eastAsia"/>
          <w:sz w:val="21"/>
          <w:szCs w:val="21"/>
        </w:rPr>
        <w:t>。附表</w:t>
      </w:r>
      <w:r w:rsidRPr="00A310A1">
        <w:rPr>
          <w:rFonts w:ascii="Times New Roman" w:eastAsia="宋体" w:hAnsi="Times New Roman" w:hint="eastAsia"/>
          <w:sz w:val="21"/>
          <w:szCs w:val="21"/>
        </w:rPr>
        <w:t>1</w:t>
      </w:r>
      <w:r w:rsidRPr="00A310A1">
        <w:rPr>
          <w:rFonts w:ascii="Times New Roman" w:eastAsia="宋体" w:hAnsi="Times New Roman" w:hint="eastAsia"/>
          <w:snapToGrid w:val="0"/>
          <w:sz w:val="21"/>
          <w:szCs w:val="21"/>
        </w:rPr>
        <w:t xml:space="preserve"> Panel A</w:t>
      </w:r>
      <w:r w:rsidRPr="00A310A1">
        <w:rPr>
          <w:rFonts w:ascii="Times New Roman" w:eastAsia="宋体" w:hAnsi="Times New Roman" w:hint="eastAsia"/>
          <w:snapToGrid w:val="0"/>
          <w:sz w:val="21"/>
          <w:szCs w:val="21"/>
        </w:rPr>
        <w:t>和</w:t>
      </w:r>
      <w:r w:rsidRPr="00A310A1">
        <w:rPr>
          <w:rFonts w:ascii="Times New Roman" w:eastAsia="宋体" w:hAnsi="Times New Roman" w:hint="eastAsia"/>
          <w:snapToGrid w:val="0"/>
          <w:sz w:val="21"/>
          <w:szCs w:val="21"/>
        </w:rPr>
        <w:t>Panel B</w:t>
      </w:r>
      <w:r w:rsidRPr="00A310A1">
        <w:rPr>
          <w:rFonts w:ascii="Times New Roman" w:eastAsia="宋体" w:hAnsi="Times New Roman" w:hint="eastAsia"/>
          <w:snapToGrid w:val="0"/>
          <w:sz w:val="21"/>
          <w:szCs w:val="21"/>
        </w:rPr>
        <w:t>列</w:t>
      </w:r>
      <w:r w:rsidRPr="00A310A1">
        <w:rPr>
          <w:rFonts w:ascii="Times New Roman" w:eastAsia="宋体" w:hAnsi="Times New Roman" w:hint="eastAsia"/>
          <w:snapToGrid w:val="0"/>
          <w:sz w:val="21"/>
          <w:szCs w:val="21"/>
        </w:rPr>
        <w:t>(3)</w:t>
      </w:r>
      <w:r w:rsidRPr="00A310A1">
        <w:rPr>
          <w:rFonts w:ascii="Times New Roman" w:eastAsia="宋体" w:hAnsi="Times New Roman" w:hint="eastAsia"/>
          <w:snapToGrid w:val="0"/>
          <w:sz w:val="21"/>
          <w:szCs w:val="21"/>
        </w:rPr>
        <w:t>的回归结果显示，</w:t>
      </w:r>
      <m:oMath>
        <m:r>
          <w:rPr>
            <w:rFonts w:ascii="Cambria Math" w:eastAsia="宋体" w:hAnsi="Cambria Math"/>
            <w:snapToGrid w:val="0"/>
            <w:sz w:val="21"/>
            <w:szCs w:val="21"/>
          </w:rPr>
          <m:t>Chain</m:t>
        </m:r>
      </m:oMath>
      <w:r w:rsidRPr="00A310A1">
        <w:rPr>
          <w:rFonts w:ascii="Times New Roman" w:eastAsia="宋体" w:hAnsi="Times New Roman" w:hint="eastAsia"/>
          <w:snapToGrid w:val="0"/>
          <w:sz w:val="21"/>
          <w:szCs w:val="21"/>
        </w:rPr>
        <w:t>的回归系数均显著为正，表明供应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度会促使企业由实体投资转向金融投资，从而进一步抬升企业的金融化和过度金融化水平。</w:t>
      </w:r>
    </w:p>
    <w:p w14:paraId="2DED4EE4" w14:textId="77777777" w:rsidR="00B14B62" w:rsidRPr="00A310A1" w:rsidRDefault="00B14B62" w:rsidP="00B14B62">
      <w:pPr>
        <w:ind w:firstLine="420"/>
        <w:rPr>
          <w:rFonts w:ascii="Times New Roman" w:eastAsia="楷体" w:hAnsi="Times New Roman"/>
          <w:sz w:val="21"/>
          <w:szCs w:val="21"/>
        </w:rPr>
      </w:pPr>
      <w:r w:rsidRPr="00A310A1">
        <w:rPr>
          <w:rFonts w:ascii="Times New Roman" w:eastAsia="楷体" w:hAnsi="Times New Roman" w:hint="eastAsia"/>
          <w:sz w:val="21"/>
          <w:szCs w:val="21"/>
        </w:rPr>
        <w:t>4.</w:t>
      </w:r>
      <w:r w:rsidRPr="00A310A1">
        <w:rPr>
          <w:rFonts w:ascii="Times New Roman" w:eastAsia="楷体" w:hAnsi="Times New Roman" w:hint="eastAsia"/>
          <w:sz w:val="21"/>
          <w:szCs w:val="21"/>
        </w:rPr>
        <w:t>调整样本结构和样本期间</w:t>
      </w:r>
    </w:p>
    <w:p w14:paraId="03F844CB" w14:textId="77777777" w:rsidR="00B14B62" w:rsidRPr="00A310A1" w:rsidRDefault="00B14B62" w:rsidP="00B14B62">
      <w:pPr>
        <w:ind w:firstLine="420"/>
        <w:rPr>
          <w:rFonts w:ascii="Times New Roman" w:eastAsia="宋体" w:hAnsi="Times New Roman"/>
          <w:snapToGrid w:val="0"/>
          <w:sz w:val="21"/>
          <w:szCs w:val="21"/>
        </w:rPr>
      </w:pPr>
      <w:r w:rsidRPr="00A310A1">
        <w:rPr>
          <w:rFonts w:ascii="Times New Roman" w:eastAsia="宋体" w:hAnsi="Times New Roman" w:hint="eastAsia"/>
          <w:sz w:val="21"/>
          <w:szCs w:val="21"/>
        </w:rPr>
        <w:t>考虑到制造业行业样本在全部样本中占比过半，与肖红军等（</w:t>
      </w:r>
      <w:r w:rsidRPr="00A310A1">
        <w:rPr>
          <w:rFonts w:ascii="Times New Roman" w:eastAsia="宋体" w:hAnsi="Times New Roman" w:hint="eastAsia"/>
          <w:sz w:val="21"/>
          <w:szCs w:val="21"/>
        </w:rPr>
        <w:t>2024</w:t>
      </w:r>
      <w:r w:rsidRPr="00A310A1">
        <w:rPr>
          <w:rFonts w:ascii="Times New Roman" w:eastAsia="宋体" w:hAnsi="Times New Roman" w:hint="eastAsia"/>
          <w:sz w:val="21"/>
          <w:szCs w:val="21"/>
        </w:rPr>
        <w:t>）类似，这里重新选取制造业样本进行回归。从附表</w:t>
      </w:r>
      <w:r w:rsidRPr="00A310A1">
        <w:rPr>
          <w:rFonts w:ascii="Times New Roman" w:eastAsia="宋体" w:hAnsi="Times New Roman" w:hint="eastAsia"/>
          <w:sz w:val="21"/>
          <w:szCs w:val="21"/>
        </w:rPr>
        <w:t>1 Panel A</w:t>
      </w:r>
      <w:r w:rsidRPr="00A310A1">
        <w:rPr>
          <w:rFonts w:ascii="Times New Roman" w:eastAsia="宋体" w:hAnsi="Times New Roman" w:hint="eastAsia"/>
          <w:sz w:val="21"/>
          <w:szCs w:val="21"/>
        </w:rPr>
        <w:t>和</w:t>
      </w:r>
      <w:r w:rsidRPr="00A310A1">
        <w:rPr>
          <w:rFonts w:ascii="Times New Roman" w:eastAsia="宋体" w:hAnsi="Times New Roman" w:hint="eastAsia"/>
          <w:sz w:val="21"/>
          <w:szCs w:val="21"/>
        </w:rPr>
        <w:t>Panel B</w:t>
      </w:r>
      <w:r w:rsidRPr="00A310A1">
        <w:rPr>
          <w:rFonts w:ascii="Times New Roman" w:eastAsia="宋体" w:hAnsi="Times New Roman" w:hint="eastAsia"/>
          <w:sz w:val="21"/>
          <w:szCs w:val="21"/>
        </w:rPr>
        <w:t>列</w:t>
      </w:r>
      <w:r w:rsidRPr="00A310A1">
        <w:rPr>
          <w:rFonts w:ascii="Times New Roman" w:eastAsia="宋体" w:hAnsi="Times New Roman" w:hint="eastAsia"/>
          <w:sz w:val="21"/>
          <w:szCs w:val="21"/>
        </w:rPr>
        <w:t>(4)</w:t>
      </w:r>
      <w:r w:rsidRPr="00A310A1">
        <w:rPr>
          <w:rFonts w:ascii="Times New Roman" w:eastAsia="宋体" w:hAnsi="Times New Roman" w:hint="eastAsia"/>
          <w:sz w:val="21"/>
          <w:szCs w:val="21"/>
        </w:rPr>
        <w:t>可以看到，供应</w:t>
      </w:r>
      <w:proofErr w:type="gramStart"/>
      <w:r w:rsidRPr="00A310A1">
        <w:rPr>
          <w:rFonts w:ascii="Times New Roman" w:eastAsia="宋体" w:hAnsi="Times New Roman" w:hint="eastAsia"/>
          <w:sz w:val="21"/>
          <w:szCs w:val="21"/>
        </w:rPr>
        <w:t>链集中</w:t>
      </w:r>
      <w:proofErr w:type="gramEnd"/>
      <w:r w:rsidRPr="00A310A1">
        <w:rPr>
          <w:rFonts w:ascii="Times New Roman" w:eastAsia="宋体" w:hAnsi="Times New Roman" w:hint="eastAsia"/>
          <w:sz w:val="21"/>
          <w:szCs w:val="21"/>
        </w:rPr>
        <w:t>度</w:t>
      </w:r>
      <m:oMath>
        <m:r>
          <w:rPr>
            <w:rFonts w:ascii="Cambria Math" w:eastAsia="宋体" w:hAnsi="Cambria Math"/>
            <w:sz w:val="21"/>
            <w:szCs w:val="21"/>
          </w:rPr>
          <m:t>Chain</m:t>
        </m:r>
      </m:oMath>
      <w:r w:rsidRPr="00A310A1">
        <w:rPr>
          <w:rFonts w:ascii="Times New Roman" w:eastAsia="宋体" w:hAnsi="Times New Roman" w:hint="eastAsia"/>
          <w:snapToGrid w:val="0"/>
          <w:sz w:val="21"/>
          <w:szCs w:val="21"/>
        </w:rPr>
        <w:t>的估计系数均显著为正，表明随着供应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度水平的上升，企业的融资约束和信息透明度分别得到缓解和降低，促使企业管理层选择进一步增持金融资产。此外，考虑到</w:t>
      </w:r>
      <w:r w:rsidRPr="00A310A1">
        <w:rPr>
          <w:rFonts w:ascii="Times New Roman" w:eastAsia="宋体" w:hAnsi="Times New Roman" w:hint="eastAsia"/>
          <w:snapToGrid w:val="0"/>
          <w:sz w:val="21"/>
          <w:szCs w:val="21"/>
        </w:rPr>
        <w:t>2023</w:t>
      </w:r>
      <w:r w:rsidRPr="00A310A1">
        <w:rPr>
          <w:rFonts w:ascii="Times New Roman" w:eastAsia="宋体" w:hAnsi="Times New Roman" w:hint="eastAsia"/>
          <w:snapToGrid w:val="0"/>
          <w:sz w:val="21"/>
          <w:szCs w:val="21"/>
        </w:rPr>
        <w:t>年中央金融工作会议明确提出“坚持把金融服务实体经济作为根本宗旨”，纳入</w:t>
      </w:r>
      <w:r w:rsidRPr="00A310A1">
        <w:rPr>
          <w:rFonts w:ascii="Times New Roman" w:eastAsia="宋体" w:hAnsi="Times New Roman" w:hint="eastAsia"/>
          <w:snapToGrid w:val="0"/>
          <w:sz w:val="21"/>
          <w:szCs w:val="21"/>
        </w:rPr>
        <w:t>2023</w:t>
      </w:r>
      <w:r w:rsidRPr="00A310A1">
        <w:rPr>
          <w:rFonts w:ascii="Times New Roman" w:eastAsia="宋体" w:hAnsi="Times New Roman" w:hint="eastAsia"/>
          <w:snapToGrid w:val="0"/>
          <w:sz w:val="21"/>
          <w:szCs w:val="21"/>
        </w:rPr>
        <w:t>年及后续年份的样本可能引入制度性冲击干扰，不利于识别供应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度对企业金融资产配置的因果效应，因此基准回归的样本期设定为</w:t>
      </w:r>
      <w:r w:rsidRPr="00A310A1">
        <w:rPr>
          <w:rFonts w:ascii="Times New Roman" w:eastAsia="宋体" w:hAnsi="Times New Roman" w:hint="eastAsia"/>
          <w:snapToGrid w:val="0"/>
          <w:sz w:val="21"/>
          <w:szCs w:val="21"/>
        </w:rPr>
        <w:t>2010-2022</w:t>
      </w:r>
      <w:r w:rsidRPr="00A310A1">
        <w:rPr>
          <w:rFonts w:ascii="Times New Roman" w:eastAsia="宋体" w:hAnsi="Times New Roman" w:hint="eastAsia"/>
          <w:snapToGrid w:val="0"/>
          <w:sz w:val="21"/>
          <w:szCs w:val="21"/>
        </w:rPr>
        <w:t>年。在稳健性检验中，我们将样本期扩展为</w:t>
      </w:r>
      <w:r w:rsidRPr="00A310A1">
        <w:rPr>
          <w:rFonts w:ascii="Times New Roman" w:eastAsia="宋体" w:hAnsi="Times New Roman" w:hint="eastAsia"/>
          <w:snapToGrid w:val="0"/>
          <w:sz w:val="21"/>
          <w:szCs w:val="21"/>
        </w:rPr>
        <w:t>2010-2025</w:t>
      </w:r>
      <w:r w:rsidRPr="00A310A1">
        <w:rPr>
          <w:rFonts w:ascii="Times New Roman" w:eastAsia="宋体" w:hAnsi="Times New Roman" w:hint="eastAsia"/>
          <w:snapToGrid w:val="0"/>
          <w:sz w:val="21"/>
          <w:szCs w:val="21"/>
        </w:rPr>
        <w:t>年，回归结果如</w:t>
      </w:r>
      <w:r w:rsidRPr="00A310A1">
        <w:rPr>
          <w:rFonts w:ascii="Times New Roman" w:eastAsia="宋体" w:hAnsi="Times New Roman" w:hint="eastAsia"/>
          <w:sz w:val="21"/>
          <w:szCs w:val="21"/>
        </w:rPr>
        <w:t>附表</w:t>
      </w:r>
      <w:r w:rsidRPr="00A310A1">
        <w:rPr>
          <w:rFonts w:ascii="Times New Roman" w:eastAsia="宋体" w:hAnsi="Times New Roman" w:hint="eastAsia"/>
          <w:sz w:val="21"/>
          <w:szCs w:val="21"/>
        </w:rPr>
        <w:t>1</w:t>
      </w:r>
      <w:r w:rsidRPr="00A310A1">
        <w:rPr>
          <w:rFonts w:ascii="Times New Roman" w:eastAsia="宋体" w:hAnsi="Times New Roman" w:hint="eastAsia"/>
          <w:snapToGrid w:val="0"/>
          <w:sz w:val="21"/>
          <w:szCs w:val="21"/>
        </w:rPr>
        <w:t xml:space="preserve"> Panel A</w:t>
      </w:r>
      <w:r w:rsidRPr="00A310A1">
        <w:rPr>
          <w:rFonts w:ascii="Times New Roman" w:eastAsia="宋体" w:hAnsi="Times New Roman" w:hint="eastAsia"/>
          <w:snapToGrid w:val="0"/>
          <w:sz w:val="21"/>
          <w:szCs w:val="21"/>
        </w:rPr>
        <w:t>和</w:t>
      </w:r>
      <w:r w:rsidRPr="00A310A1">
        <w:rPr>
          <w:rFonts w:ascii="Times New Roman" w:eastAsia="宋体" w:hAnsi="Times New Roman" w:hint="eastAsia"/>
          <w:snapToGrid w:val="0"/>
          <w:sz w:val="21"/>
          <w:szCs w:val="21"/>
        </w:rPr>
        <w:t>Panel B</w:t>
      </w:r>
      <w:r w:rsidRPr="00A310A1">
        <w:rPr>
          <w:rFonts w:ascii="Times New Roman" w:eastAsia="宋体" w:hAnsi="Times New Roman" w:hint="eastAsia"/>
          <w:snapToGrid w:val="0"/>
          <w:sz w:val="21"/>
          <w:szCs w:val="21"/>
        </w:rPr>
        <w:t>列</w:t>
      </w:r>
      <w:r w:rsidRPr="00A310A1">
        <w:rPr>
          <w:rFonts w:ascii="Times New Roman" w:eastAsia="宋体" w:hAnsi="Times New Roman" w:hint="eastAsia"/>
          <w:snapToGrid w:val="0"/>
          <w:sz w:val="21"/>
          <w:szCs w:val="21"/>
        </w:rPr>
        <w:t>(5)</w:t>
      </w:r>
      <w:r w:rsidRPr="00A310A1">
        <w:rPr>
          <w:rFonts w:ascii="Times New Roman" w:eastAsia="宋体" w:hAnsi="Times New Roman" w:hint="eastAsia"/>
          <w:snapToGrid w:val="0"/>
          <w:sz w:val="21"/>
          <w:szCs w:val="21"/>
        </w:rPr>
        <w:t>所示。在调整样本期间后，供应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w:t>
      </w:r>
      <m:oMath>
        <m:r>
          <w:rPr>
            <w:rFonts w:ascii="Cambria Math" w:eastAsia="宋体" w:hAnsi="Cambria Math"/>
            <w:sz w:val="21"/>
            <w:szCs w:val="21"/>
          </w:rPr>
          <m:t>Chain</m:t>
        </m:r>
      </m:oMath>
      <w:r w:rsidRPr="00A310A1">
        <w:rPr>
          <w:rFonts w:ascii="Times New Roman" w:eastAsia="宋体" w:hAnsi="Times New Roman" w:hint="eastAsia"/>
          <w:sz w:val="21"/>
          <w:szCs w:val="21"/>
        </w:rPr>
        <w:t>的回归系数均显著为正，本文核心结论保持稳健。</w:t>
      </w:r>
    </w:p>
    <w:p w14:paraId="6673C98E" w14:textId="77777777" w:rsidR="00B14B62" w:rsidRPr="00A310A1" w:rsidRDefault="00B14B62" w:rsidP="00B14B62">
      <w:pPr>
        <w:ind w:firstLine="420"/>
        <w:rPr>
          <w:rFonts w:ascii="Times New Roman" w:eastAsia="楷体" w:hAnsi="Times New Roman"/>
          <w:sz w:val="21"/>
          <w:szCs w:val="21"/>
        </w:rPr>
      </w:pPr>
      <w:r w:rsidRPr="00A310A1">
        <w:rPr>
          <w:rFonts w:ascii="Times New Roman" w:eastAsia="楷体" w:hAnsi="Times New Roman" w:hint="eastAsia"/>
          <w:sz w:val="21"/>
          <w:szCs w:val="21"/>
        </w:rPr>
        <w:t>5.</w:t>
      </w:r>
      <w:r w:rsidRPr="00A310A1">
        <w:rPr>
          <w:rFonts w:ascii="Times New Roman" w:eastAsia="楷体" w:hAnsi="Times New Roman" w:hint="eastAsia"/>
          <w:sz w:val="21"/>
          <w:szCs w:val="21"/>
        </w:rPr>
        <w:t>排除干扰性因素</w:t>
      </w:r>
    </w:p>
    <w:p w14:paraId="03083411" w14:textId="77777777" w:rsidR="00B14B62" w:rsidRPr="00A310A1" w:rsidRDefault="00B14B62" w:rsidP="00B14B62">
      <w:pPr>
        <w:ind w:firstLine="420"/>
        <w:rPr>
          <w:rFonts w:ascii="Times New Roman" w:eastAsia="宋体" w:hAnsi="Times New Roman"/>
          <w:snapToGrid w:val="0"/>
          <w:sz w:val="21"/>
          <w:szCs w:val="21"/>
        </w:rPr>
      </w:pPr>
      <w:r w:rsidRPr="00A310A1">
        <w:rPr>
          <w:rFonts w:ascii="Times New Roman" w:eastAsia="宋体" w:hAnsi="Times New Roman" w:hint="eastAsia"/>
          <w:snapToGrid w:val="0"/>
          <w:sz w:val="21"/>
          <w:szCs w:val="21"/>
        </w:rPr>
        <w:t>本文研究期间设定为</w:t>
      </w:r>
      <w:r w:rsidRPr="00A310A1">
        <w:rPr>
          <w:rFonts w:ascii="Times New Roman" w:eastAsia="宋体" w:hAnsi="Times New Roman" w:hint="eastAsia"/>
          <w:snapToGrid w:val="0"/>
          <w:sz w:val="21"/>
          <w:szCs w:val="21"/>
        </w:rPr>
        <w:t>2010-2022</w:t>
      </w:r>
      <w:r w:rsidRPr="00A310A1">
        <w:rPr>
          <w:rFonts w:ascii="Times New Roman" w:eastAsia="宋体" w:hAnsi="Times New Roman" w:hint="eastAsia"/>
          <w:snapToGrid w:val="0"/>
          <w:sz w:val="21"/>
          <w:szCs w:val="21"/>
        </w:rPr>
        <w:t>年，在这期间存在部分冲击和政策可能对本文研究结论造成干扰。首先，</w:t>
      </w:r>
      <w:r w:rsidRPr="00A310A1">
        <w:rPr>
          <w:rFonts w:ascii="Times New Roman" w:eastAsia="宋体" w:hAnsi="Times New Roman" w:hint="eastAsia"/>
          <w:snapToGrid w:val="0"/>
          <w:sz w:val="21"/>
          <w:szCs w:val="21"/>
        </w:rPr>
        <w:t>2015</w:t>
      </w:r>
      <w:r w:rsidRPr="00A310A1">
        <w:rPr>
          <w:rFonts w:ascii="Times New Roman" w:eastAsia="宋体" w:hAnsi="Times New Roman" w:hint="eastAsia"/>
          <w:snapToGrid w:val="0"/>
          <w:sz w:val="21"/>
          <w:szCs w:val="21"/>
        </w:rPr>
        <w:t>年中国资本市场经历了严重股灾，对中国金融发展进程产生外生冲击，为此，我们删除</w:t>
      </w:r>
      <w:r w:rsidRPr="00A310A1">
        <w:rPr>
          <w:rFonts w:ascii="Times New Roman" w:eastAsia="宋体" w:hAnsi="Times New Roman" w:hint="eastAsia"/>
          <w:snapToGrid w:val="0"/>
          <w:sz w:val="21"/>
          <w:szCs w:val="21"/>
        </w:rPr>
        <w:t>2015</w:t>
      </w:r>
      <w:r w:rsidRPr="00A310A1">
        <w:rPr>
          <w:rFonts w:ascii="Times New Roman" w:eastAsia="宋体" w:hAnsi="Times New Roman" w:hint="eastAsia"/>
          <w:snapToGrid w:val="0"/>
          <w:sz w:val="21"/>
          <w:szCs w:val="21"/>
        </w:rPr>
        <w:t>年样本并重新回归，</w:t>
      </w:r>
      <w:r w:rsidRPr="00A310A1">
        <w:rPr>
          <w:rFonts w:ascii="Times New Roman" w:eastAsia="宋体" w:hAnsi="Times New Roman" w:hint="eastAsia"/>
          <w:sz w:val="21"/>
          <w:szCs w:val="21"/>
        </w:rPr>
        <w:t>附表</w:t>
      </w:r>
      <w:r w:rsidRPr="00A310A1">
        <w:rPr>
          <w:rFonts w:ascii="Times New Roman" w:eastAsia="宋体" w:hAnsi="Times New Roman" w:hint="eastAsia"/>
          <w:sz w:val="21"/>
          <w:szCs w:val="21"/>
        </w:rPr>
        <w:t>1</w:t>
      </w:r>
      <w:r w:rsidRPr="00A310A1">
        <w:rPr>
          <w:rFonts w:ascii="Times New Roman" w:eastAsia="宋体" w:hAnsi="Times New Roman" w:hint="eastAsia"/>
          <w:snapToGrid w:val="0"/>
          <w:sz w:val="21"/>
          <w:szCs w:val="21"/>
        </w:rPr>
        <w:t xml:space="preserve"> Panel A</w:t>
      </w:r>
      <w:r w:rsidRPr="00A310A1">
        <w:rPr>
          <w:rFonts w:ascii="Times New Roman" w:eastAsia="宋体" w:hAnsi="Times New Roman" w:hint="eastAsia"/>
          <w:snapToGrid w:val="0"/>
          <w:sz w:val="21"/>
          <w:szCs w:val="21"/>
        </w:rPr>
        <w:t>和</w:t>
      </w:r>
      <w:r w:rsidRPr="00A310A1">
        <w:rPr>
          <w:rFonts w:ascii="Times New Roman" w:eastAsia="宋体" w:hAnsi="Times New Roman" w:hint="eastAsia"/>
          <w:snapToGrid w:val="0"/>
          <w:sz w:val="21"/>
          <w:szCs w:val="21"/>
        </w:rPr>
        <w:t>Panel B</w:t>
      </w:r>
      <w:r w:rsidRPr="00A310A1">
        <w:rPr>
          <w:rFonts w:ascii="Times New Roman" w:eastAsia="宋体" w:hAnsi="Times New Roman" w:hint="eastAsia"/>
          <w:snapToGrid w:val="0"/>
          <w:sz w:val="21"/>
          <w:szCs w:val="21"/>
        </w:rPr>
        <w:t>列</w:t>
      </w:r>
      <w:r w:rsidRPr="00A310A1">
        <w:rPr>
          <w:rFonts w:ascii="Times New Roman" w:eastAsia="宋体" w:hAnsi="Times New Roman" w:hint="eastAsia"/>
          <w:snapToGrid w:val="0"/>
          <w:sz w:val="21"/>
          <w:szCs w:val="21"/>
        </w:rPr>
        <w:t>(6)</w:t>
      </w:r>
      <w:r w:rsidRPr="00A310A1">
        <w:rPr>
          <w:rFonts w:ascii="Times New Roman" w:eastAsia="宋体" w:hAnsi="Times New Roman" w:hint="eastAsia"/>
          <w:snapToGrid w:val="0"/>
          <w:sz w:val="21"/>
          <w:szCs w:val="21"/>
        </w:rPr>
        <w:t>回归结果表明，供应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w:t>
      </w:r>
      <m:oMath>
        <m:r>
          <w:rPr>
            <w:rFonts w:ascii="Cambria Math" w:eastAsia="宋体" w:hAnsi="Cambria Math"/>
            <w:snapToGrid w:val="0"/>
            <w:sz w:val="21"/>
            <w:szCs w:val="21"/>
          </w:rPr>
          <m:t>Chain</m:t>
        </m:r>
      </m:oMath>
      <w:r w:rsidRPr="00A310A1">
        <w:rPr>
          <w:rFonts w:ascii="Times New Roman" w:eastAsia="宋体" w:hAnsi="Times New Roman" w:hint="eastAsia"/>
          <w:snapToGrid w:val="0"/>
          <w:sz w:val="21"/>
          <w:szCs w:val="21"/>
        </w:rPr>
        <w:t>的估计系数仍在</w:t>
      </w:r>
      <w:r w:rsidRPr="00A310A1">
        <w:rPr>
          <w:rFonts w:ascii="Times New Roman" w:eastAsia="宋体" w:hAnsi="Times New Roman" w:hint="eastAsia"/>
          <w:snapToGrid w:val="0"/>
          <w:sz w:val="21"/>
          <w:szCs w:val="21"/>
        </w:rPr>
        <w:t>1%</w:t>
      </w:r>
      <w:r w:rsidRPr="00A310A1">
        <w:rPr>
          <w:rFonts w:ascii="Times New Roman" w:eastAsia="宋体" w:hAnsi="Times New Roman" w:hint="eastAsia"/>
          <w:snapToGrid w:val="0"/>
          <w:sz w:val="21"/>
          <w:szCs w:val="21"/>
        </w:rPr>
        <w:t>的水平上显著为正。其次，</w:t>
      </w:r>
      <w:r w:rsidRPr="00A310A1">
        <w:rPr>
          <w:rFonts w:ascii="Times New Roman" w:eastAsia="宋体" w:hAnsi="Times New Roman" w:hint="eastAsia"/>
          <w:snapToGrid w:val="0"/>
          <w:sz w:val="21"/>
          <w:szCs w:val="21"/>
        </w:rPr>
        <w:t>2018</w:t>
      </w:r>
      <w:r w:rsidRPr="00A310A1">
        <w:rPr>
          <w:rFonts w:ascii="Times New Roman" w:eastAsia="宋体" w:hAnsi="Times New Roman" w:hint="eastAsia"/>
          <w:snapToGrid w:val="0"/>
          <w:sz w:val="21"/>
          <w:szCs w:val="21"/>
        </w:rPr>
        <w:t>年中国人民银行、银监会、证监会、保监会和外管局共同发布了《关于规范金融机构资产管理业务的指导意见》，提升了金融监管力度和强度，</w:t>
      </w:r>
      <w:r w:rsidRPr="00A310A1">
        <w:rPr>
          <w:rFonts w:ascii="Times New Roman" w:eastAsia="宋体" w:hAnsi="Times New Roman" w:hint="eastAsia"/>
          <w:sz w:val="21"/>
          <w:szCs w:val="21"/>
        </w:rPr>
        <w:t>在一定程度上引导资金流向实体经济（李青原等，</w:t>
      </w:r>
      <w:r w:rsidRPr="00A310A1">
        <w:rPr>
          <w:rFonts w:ascii="Times New Roman" w:eastAsia="宋体" w:hAnsi="Times New Roman" w:hint="eastAsia"/>
          <w:sz w:val="21"/>
          <w:szCs w:val="21"/>
        </w:rPr>
        <w:t>2022</w:t>
      </w:r>
      <w:r w:rsidRPr="00A310A1">
        <w:rPr>
          <w:rFonts w:ascii="Times New Roman" w:eastAsia="宋体" w:hAnsi="Times New Roman" w:hint="eastAsia"/>
          <w:sz w:val="21"/>
          <w:szCs w:val="21"/>
        </w:rPr>
        <w:t>）。本文参考洪金明等（</w:t>
      </w:r>
      <w:r w:rsidRPr="00A310A1">
        <w:rPr>
          <w:rFonts w:ascii="Times New Roman" w:eastAsia="宋体" w:hAnsi="Times New Roman" w:hint="eastAsia"/>
          <w:sz w:val="21"/>
          <w:szCs w:val="21"/>
        </w:rPr>
        <w:t>2024</w:t>
      </w:r>
      <w:r w:rsidRPr="00A310A1">
        <w:rPr>
          <w:rFonts w:ascii="Times New Roman" w:eastAsia="宋体" w:hAnsi="Times New Roman" w:hint="eastAsia"/>
          <w:sz w:val="21"/>
          <w:szCs w:val="21"/>
        </w:rPr>
        <w:t>）的做法计算企业商业信用供给水平（</w:t>
      </w:r>
      <m:oMath>
        <m:r>
          <w:rPr>
            <w:rFonts w:ascii="Cambria Math" w:eastAsia="宋体" w:hAnsi="Cambria Math"/>
            <w:sz w:val="21"/>
            <w:szCs w:val="21"/>
          </w:rPr>
          <m:t>TC</m:t>
        </m:r>
      </m:oMath>
      <w:r w:rsidRPr="00A310A1">
        <w:rPr>
          <w:rFonts w:ascii="Times New Roman" w:eastAsia="宋体" w:hAnsi="Times New Roman" w:hint="eastAsia"/>
          <w:sz w:val="21"/>
          <w:szCs w:val="21"/>
        </w:rPr>
        <w:t>），根据样本年份是否在</w:t>
      </w:r>
      <w:r w:rsidRPr="00A310A1">
        <w:rPr>
          <w:rFonts w:ascii="Times New Roman" w:eastAsia="宋体" w:hAnsi="Times New Roman" w:hint="eastAsia"/>
          <w:sz w:val="21"/>
          <w:szCs w:val="21"/>
        </w:rPr>
        <w:t>2018</w:t>
      </w:r>
      <w:r w:rsidRPr="00A310A1">
        <w:rPr>
          <w:rFonts w:ascii="Times New Roman" w:eastAsia="宋体" w:hAnsi="Times New Roman" w:hint="eastAsia"/>
          <w:sz w:val="21"/>
          <w:szCs w:val="21"/>
        </w:rPr>
        <w:t>年及以后设置时间虚拟变量（</w:t>
      </w:r>
      <m:oMath>
        <m:r>
          <w:rPr>
            <w:rFonts w:ascii="Cambria Math" w:eastAsia="宋体" w:hAnsi="Cambria Math"/>
            <w:sz w:val="21"/>
            <w:szCs w:val="21"/>
          </w:rPr>
          <m:t>Post</m:t>
        </m:r>
      </m:oMath>
      <w:r w:rsidRPr="00A310A1">
        <w:rPr>
          <w:rFonts w:ascii="Times New Roman" w:eastAsia="宋体" w:hAnsi="Times New Roman" w:hint="eastAsia"/>
          <w:sz w:val="21"/>
          <w:szCs w:val="21"/>
        </w:rPr>
        <w:t>），将交互项（</w:t>
      </w:r>
      <m:oMath>
        <m:r>
          <w:rPr>
            <w:rFonts w:ascii="Cambria Math" w:eastAsia="宋体" w:hAnsi="Cambria Math"/>
            <w:sz w:val="21"/>
            <w:szCs w:val="21"/>
          </w:rPr>
          <m:t>TC×Post</m:t>
        </m:r>
      </m:oMath>
      <w:r w:rsidRPr="00A310A1">
        <w:rPr>
          <w:rFonts w:ascii="Times New Roman" w:eastAsia="宋体" w:hAnsi="Times New Roman" w:hint="eastAsia"/>
          <w:sz w:val="21"/>
          <w:szCs w:val="21"/>
        </w:rPr>
        <w:t>）引入基准回归模型中，回归结果汇报于附表</w:t>
      </w:r>
      <w:r w:rsidRPr="00A310A1">
        <w:rPr>
          <w:rFonts w:ascii="Times New Roman" w:eastAsia="宋体" w:hAnsi="Times New Roman" w:hint="eastAsia"/>
          <w:sz w:val="21"/>
          <w:szCs w:val="21"/>
        </w:rPr>
        <w:t>1</w:t>
      </w:r>
      <w:r w:rsidRPr="00A310A1">
        <w:rPr>
          <w:rFonts w:ascii="Times New Roman" w:eastAsia="宋体" w:hAnsi="Times New Roman" w:hint="eastAsia"/>
          <w:snapToGrid w:val="0"/>
          <w:sz w:val="21"/>
          <w:szCs w:val="21"/>
        </w:rPr>
        <w:t xml:space="preserve"> Panel A</w:t>
      </w:r>
      <w:r w:rsidRPr="00A310A1">
        <w:rPr>
          <w:rFonts w:ascii="Times New Roman" w:eastAsia="宋体" w:hAnsi="Times New Roman" w:hint="eastAsia"/>
          <w:snapToGrid w:val="0"/>
          <w:sz w:val="21"/>
          <w:szCs w:val="21"/>
        </w:rPr>
        <w:t>和</w:t>
      </w:r>
      <w:r w:rsidRPr="00A310A1">
        <w:rPr>
          <w:rFonts w:ascii="Times New Roman" w:eastAsia="宋体" w:hAnsi="Times New Roman" w:hint="eastAsia"/>
          <w:snapToGrid w:val="0"/>
          <w:sz w:val="21"/>
          <w:szCs w:val="21"/>
        </w:rPr>
        <w:t>Panel B</w:t>
      </w:r>
      <w:r w:rsidRPr="00A310A1">
        <w:rPr>
          <w:rFonts w:ascii="Times New Roman" w:eastAsia="宋体" w:hAnsi="Times New Roman" w:hint="eastAsia"/>
          <w:snapToGrid w:val="0"/>
          <w:sz w:val="21"/>
          <w:szCs w:val="21"/>
        </w:rPr>
        <w:t>列</w:t>
      </w:r>
      <w:r w:rsidRPr="00A310A1">
        <w:rPr>
          <w:rFonts w:ascii="Times New Roman" w:eastAsia="宋体" w:hAnsi="Times New Roman" w:hint="eastAsia"/>
          <w:snapToGrid w:val="0"/>
          <w:sz w:val="21"/>
          <w:szCs w:val="21"/>
        </w:rPr>
        <w:t>(7)</w:t>
      </w:r>
      <w:r w:rsidRPr="00A310A1">
        <w:rPr>
          <w:rFonts w:ascii="Times New Roman" w:eastAsia="宋体" w:hAnsi="Times New Roman" w:hint="eastAsia"/>
          <w:snapToGrid w:val="0"/>
          <w:sz w:val="21"/>
          <w:szCs w:val="21"/>
        </w:rPr>
        <w:t>中。供应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w:t>
      </w:r>
      <m:oMath>
        <m:r>
          <w:rPr>
            <w:rFonts w:ascii="Cambria Math" w:eastAsia="宋体" w:hAnsi="Cambria Math"/>
            <w:snapToGrid w:val="0"/>
            <w:sz w:val="21"/>
            <w:szCs w:val="21"/>
          </w:rPr>
          <m:t>Chain</m:t>
        </m:r>
      </m:oMath>
      <w:r w:rsidRPr="00A310A1">
        <w:rPr>
          <w:rFonts w:ascii="Times New Roman" w:eastAsia="宋体" w:hAnsi="Times New Roman" w:hint="eastAsia"/>
          <w:snapToGrid w:val="0"/>
          <w:sz w:val="21"/>
          <w:szCs w:val="21"/>
        </w:rPr>
        <w:t>的估计系数仍然显著为正，可见在考虑了研究期间发生的冲击和政策干预因素后，供应</w:t>
      </w:r>
      <w:proofErr w:type="gramStart"/>
      <w:r w:rsidRPr="00A310A1">
        <w:rPr>
          <w:rFonts w:ascii="Times New Roman" w:eastAsia="宋体" w:hAnsi="Times New Roman" w:hint="eastAsia"/>
          <w:snapToGrid w:val="0"/>
          <w:sz w:val="21"/>
          <w:szCs w:val="21"/>
        </w:rPr>
        <w:t>链集中</w:t>
      </w:r>
      <w:proofErr w:type="gramEnd"/>
      <w:r w:rsidRPr="00A310A1">
        <w:rPr>
          <w:rFonts w:ascii="Times New Roman" w:eastAsia="宋体" w:hAnsi="Times New Roman" w:hint="eastAsia"/>
          <w:snapToGrid w:val="0"/>
          <w:sz w:val="21"/>
          <w:szCs w:val="21"/>
        </w:rPr>
        <w:t>度仍然会显著促进企业金融化水平提升，甚至造成过度金融化问题。</w:t>
      </w:r>
    </w:p>
    <w:p w14:paraId="6CC21DBB" w14:textId="77777777" w:rsidR="00B14B62" w:rsidRDefault="00B14B62" w:rsidP="00B14B62">
      <w:pPr>
        <w:ind w:firstLine="422"/>
        <w:rPr>
          <w:rFonts w:ascii="黑体" w:eastAsia="黑体" w:hAnsi="黑体" w:hint="eastAsia"/>
          <w:b/>
          <w:bCs/>
          <w:sz w:val="21"/>
          <w:szCs w:val="21"/>
        </w:rPr>
      </w:pPr>
      <w:r w:rsidRPr="00A310A1">
        <w:rPr>
          <w:rFonts w:ascii="黑体" w:eastAsia="黑体" w:hAnsi="黑体" w:hint="eastAsia"/>
          <w:b/>
          <w:bCs/>
          <w:sz w:val="21"/>
          <w:szCs w:val="21"/>
        </w:rPr>
        <w:t>附表1                         稳健性检验</w:t>
      </w:r>
    </w:p>
    <w:tbl>
      <w:tblPr>
        <w:tblW w:w="5302" w:type="pct"/>
        <w:jc w:val="center"/>
        <w:tblBorders>
          <w:top w:val="single" w:sz="8" w:space="0" w:color="auto"/>
          <w:bottom w:val="single" w:sz="8" w:space="0" w:color="auto"/>
          <w:insideH w:val="single" w:sz="4" w:space="0" w:color="auto"/>
        </w:tblBorders>
        <w:tblLook w:val="0000" w:firstRow="0" w:lastRow="0" w:firstColumn="0" w:lastColumn="0" w:noHBand="0" w:noVBand="0"/>
      </w:tblPr>
      <w:tblGrid>
        <w:gridCol w:w="1930"/>
        <w:gridCol w:w="994"/>
        <w:gridCol w:w="1001"/>
        <w:gridCol w:w="1001"/>
        <w:gridCol w:w="909"/>
        <w:gridCol w:w="907"/>
        <w:gridCol w:w="907"/>
        <w:gridCol w:w="1159"/>
      </w:tblGrid>
      <w:tr w:rsidR="00B14B62" w:rsidRPr="00A310A1" w14:paraId="672ECFAF" w14:textId="77777777" w:rsidTr="0076524C">
        <w:trPr>
          <w:jc w:val="center"/>
        </w:trPr>
        <w:tc>
          <w:tcPr>
            <w:tcW w:w="1096" w:type="pct"/>
            <w:vMerge w:val="restart"/>
            <w:tcBorders>
              <w:top w:val="single" w:sz="8" w:space="0" w:color="auto"/>
              <w:left w:val="nil"/>
              <w:right w:val="single" w:sz="4" w:space="0" w:color="auto"/>
            </w:tcBorders>
            <w:vAlign w:val="center"/>
          </w:tcPr>
          <w:p w14:paraId="732A20F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变量</w:t>
            </w:r>
          </w:p>
        </w:tc>
        <w:tc>
          <w:tcPr>
            <w:tcW w:w="564" w:type="pct"/>
            <w:tcBorders>
              <w:top w:val="single" w:sz="8" w:space="0" w:color="auto"/>
              <w:left w:val="single" w:sz="4" w:space="0" w:color="auto"/>
              <w:right w:val="single" w:sz="4" w:space="0" w:color="auto"/>
            </w:tcBorders>
            <w:vAlign w:val="center"/>
          </w:tcPr>
          <w:p w14:paraId="3240503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(1)</w:t>
            </w:r>
          </w:p>
        </w:tc>
        <w:tc>
          <w:tcPr>
            <w:tcW w:w="568" w:type="pct"/>
            <w:tcBorders>
              <w:top w:val="single" w:sz="8" w:space="0" w:color="auto"/>
              <w:left w:val="single" w:sz="4" w:space="0" w:color="auto"/>
              <w:right w:val="single" w:sz="4" w:space="0" w:color="auto"/>
            </w:tcBorders>
            <w:vAlign w:val="center"/>
          </w:tcPr>
          <w:p w14:paraId="6851505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(2)</w:t>
            </w:r>
          </w:p>
        </w:tc>
        <w:tc>
          <w:tcPr>
            <w:tcW w:w="568" w:type="pct"/>
            <w:tcBorders>
              <w:top w:val="single" w:sz="8" w:space="0" w:color="auto"/>
              <w:left w:val="single" w:sz="4" w:space="0" w:color="auto"/>
              <w:right w:val="single" w:sz="4" w:space="0" w:color="auto"/>
            </w:tcBorders>
            <w:vAlign w:val="center"/>
          </w:tcPr>
          <w:p w14:paraId="128368E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(3)</w:t>
            </w:r>
          </w:p>
        </w:tc>
        <w:tc>
          <w:tcPr>
            <w:tcW w:w="516" w:type="pct"/>
            <w:tcBorders>
              <w:top w:val="single" w:sz="8" w:space="0" w:color="auto"/>
              <w:left w:val="single" w:sz="4" w:space="0" w:color="auto"/>
              <w:right w:val="single" w:sz="4" w:space="0" w:color="auto"/>
            </w:tcBorders>
            <w:vAlign w:val="center"/>
          </w:tcPr>
          <w:p w14:paraId="565C3D3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(4)</w:t>
            </w:r>
          </w:p>
        </w:tc>
        <w:tc>
          <w:tcPr>
            <w:tcW w:w="515" w:type="pct"/>
            <w:tcBorders>
              <w:top w:val="single" w:sz="8" w:space="0" w:color="auto"/>
              <w:left w:val="single" w:sz="4" w:space="0" w:color="auto"/>
              <w:right w:val="single" w:sz="4" w:space="0" w:color="auto"/>
            </w:tcBorders>
          </w:tcPr>
          <w:p w14:paraId="2BA50B8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(5)</w:t>
            </w:r>
          </w:p>
        </w:tc>
        <w:tc>
          <w:tcPr>
            <w:tcW w:w="515" w:type="pct"/>
            <w:tcBorders>
              <w:top w:val="single" w:sz="8" w:space="0" w:color="auto"/>
              <w:left w:val="single" w:sz="4" w:space="0" w:color="auto"/>
              <w:right w:val="single" w:sz="4" w:space="0" w:color="auto"/>
            </w:tcBorders>
          </w:tcPr>
          <w:p w14:paraId="75B8C5E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(6)</w:t>
            </w:r>
          </w:p>
        </w:tc>
        <w:tc>
          <w:tcPr>
            <w:tcW w:w="658" w:type="pct"/>
            <w:tcBorders>
              <w:top w:val="single" w:sz="8" w:space="0" w:color="auto"/>
              <w:left w:val="single" w:sz="4" w:space="0" w:color="auto"/>
            </w:tcBorders>
          </w:tcPr>
          <w:p w14:paraId="4C8D637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(7)</w:t>
            </w:r>
          </w:p>
        </w:tc>
      </w:tr>
      <w:tr w:rsidR="00B14B62" w:rsidRPr="00A310A1" w14:paraId="3A99ABDF" w14:textId="77777777" w:rsidTr="0076524C">
        <w:trPr>
          <w:jc w:val="center"/>
        </w:trPr>
        <w:tc>
          <w:tcPr>
            <w:tcW w:w="1096" w:type="pct"/>
            <w:vMerge/>
            <w:tcBorders>
              <w:left w:val="nil"/>
              <w:right w:val="single" w:sz="4" w:space="0" w:color="auto"/>
            </w:tcBorders>
            <w:vAlign w:val="center"/>
          </w:tcPr>
          <w:p w14:paraId="09E25088" w14:textId="77777777" w:rsidR="00B14B62" w:rsidRPr="00A310A1" w:rsidRDefault="00B14B62" w:rsidP="00B14B62">
            <w:pPr>
              <w:autoSpaceDE w:val="0"/>
              <w:autoSpaceDN w:val="0"/>
              <w:adjustRightInd w:val="0"/>
              <w:spacing w:line="200" w:lineRule="exact"/>
              <w:ind w:firstLineChars="0" w:firstLine="0"/>
              <w:rPr>
                <w:rFonts w:ascii="Times New Roman" w:eastAsia="宋体" w:hAnsi="Times New Roman" w:cs="Times New Roman"/>
                <w:kern w:val="0"/>
                <w:sz w:val="18"/>
              </w:rPr>
            </w:pPr>
          </w:p>
        </w:tc>
        <w:tc>
          <w:tcPr>
            <w:tcW w:w="564" w:type="pct"/>
            <w:tcBorders>
              <w:left w:val="single" w:sz="4" w:space="0" w:color="auto"/>
              <w:right w:val="single" w:sz="4" w:space="0" w:color="auto"/>
            </w:tcBorders>
            <w:vAlign w:val="center"/>
          </w:tcPr>
          <w:p w14:paraId="4A3830B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调整固定效应</w:t>
            </w:r>
          </w:p>
        </w:tc>
        <w:tc>
          <w:tcPr>
            <w:tcW w:w="568" w:type="pct"/>
            <w:tcBorders>
              <w:left w:val="single" w:sz="4" w:space="0" w:color="auto"/>
              <w:right w:val="single" w:sz="4" w:space="0" w:color="auto"/>
            </w:tcBorders>
            <w:vAlign w:val="center"/>
          </w:tcPr>
          <w:p w14:paraId="68B1EF5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调整聚类标准误</w:t>
            </w:r>
          </w:p>
        </w:tc>
        <w:tc>
          <w:tcPr>
            <w:tcW w:w="568" w:type="pct"/>
            <w:tcBorders>
              <w:left w:val="single" w:sz="4" w:space="0" w:color="auto"/>
              <w:right w:val="single" w:sz="4" w:space="0" w:color="auto"/>
            </w:tcBorders>
            <w:vAlign w:val="center"/>
          </w:tcPr>
          <w:p w14:paraId="0D37B70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更换核心变量</w:t>
            </w:r>
          </w:p>
        </w:tc>
        <w:tc>
          <w:tcPr>
            <w:tcW w:w="516" w:type="pct"/>
            <w:tcBorders>
              <w:left w:val="single" w:sz="4" w:space="0" w:color="auto"/>
              <w:right w:val="single" w:sz="4" w:space="0" w:color="auto"/>
            </w:tcBorders>
            <w:vAlign w:val="center"/>
          </w:tcPr>
          <w:p w14:paraId="2D76040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调整样本结构</w:t>
            </w:r>
          </w:p>
        </w:tc>
        <w:tc>
          <w:tcPr>
            <w:tcW w:w="515" w:type="pct"/>
            <w:tcBorders>
              <w:left w:val="single" w:sz="4" w:space="0" w:color="auto"/>
              <w:right w:val="single" w:sz="4" w:space="0" w:color="auto"/>
            </w:tcBorders>
            <w:vAlign w:val="center"/>
          </w:tcPr>
          <w:p w14:paraId="2386458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调整样本期间</w:t>
            </w:r>
          </w:p>
        </w:tc>
        <w:tc>
          <w:tcPr>
            <w:tcW w:w="515" w:type="pct"/>
            <w:tcBorders>
              <w:left w:val="single" w:sz="4" w:space="0" w:color="auto"/>
              <w:right w:val="single" w:sz="4" w:space="0" w:color="auto"/>
            </w:tcBorders>
            <w:vAlign w:val="center"/>
          </w:tcPr>
          <w:p w14:paraId="71255D7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2015</w:t>
            </w:r>
            <w:r w:rsidRPr="00A310A1">
              <w:rPr>
                <w:rFonts w:ascii="Times New Roman" w:eastAsia="宋体" w:hAnsi="Times New Roman" w:cs="Times New Roman" w:hint="eastAsia"/>
                <w:kern w:val="0"/>
                <w:sz w:val="18"/>
              </w:rPr>
              <w:t>年股灾冲击</w:t>
            </w:r>
          </w:p>
        </w:tc>
        <w:tc>
          <w:tcPr>
            <w:tcW w:w="658" w:type="pct"/>
            <w:tcBorders>
              <w:left w:val="single" w:sz="4" w:space="0" w:color="auto"/>
            </w:tcBorders>
            <w:vAlign w:val="center"/>
          </w:tcPr>
          <w:p w14:paraId="417EDAB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hint="eastAsia"/>
                <w:kern w:val="0"/>
                <w:sz w:val="18"/>
              </w:rPr>
              <w:t>2018</w:t>
            </w:r>
            <w:r w:rsidRPr="00A310A1">
              <w:rPr>
                <w:rFonts w:ascii="Times New Roman" w:eastAsia="宋体" w:hAnsi="Times New Roman" w:cs="Times New Roman" w:hint="eastAsia"/>
                <w:kern w:val="0"/>
                <w:sz w:val="18"/>
              </w:rPr>
              <w:t>年资管新</w:t>
            </w:r>
            <w:proofErr w:type="gramStart"/>
            <w:r w:rsidRPr="00A310A1">
              <w:rPr>
                <w:rFonts w:ascii="Times New Roman" w:eastAsia="宋体" w:hAnsi="Times New Roman" w:cs="Times New Roman" w:hint="eastAsia"/>
                <w:kern w:val="0"/>
                <w:sz w:val="18"/>
              </w:rPr>
              <w:t>规</w:t>
            </w:r>
            <w:proofErr w:type="gramEnd"/>
          </w:p>
        </w:tc>
      </w:tr>
      <w:tr w:rsidR="00B14B62" w:rsidRPr="00A310A1" w14:paraId="62932408" w14:textId="77777777" w:rsidTr="0076524C">
        <w:trPr>
          <w:jc w:val="center"/>
        </w:trPr>
        <w:tc>
          <w:tcPr>
            <w:tcW w:w="5000" w:type="pct"/>
            <w:gridSpan w:val="8"/>
            <w:tcBorders>
              <w:left w:val="nil"/>
            </w:tcBorders>
            <w:vAlign w:val="center"/>
          </w:tcPr>
          <w:p w14:paraId="34635A7C" w14:textId="77777777" w:rsidR="00B14B62" w:rsidRPr="00A310A1" w:rsidRDefault="00B14B62" w:rsidP="00B14B62">
            <w:pPr>
              <w:autoSpaceDE w:val="0"/>
              <w:autoSpaceDN w:val="0"/>
              <w:adjustRightInd w:val="0"/>
              <w:spacing w:line="200" w:lineRule="exact"/>
              <w:ind w:firstLineChars="0" w:firstLine="0"/>
              <w:rPr>
                <w:rFonts w:ascii="Times New Roman" w:eastAsia="楷体" w:hAnsi="Times New Roman"/>
                <w:kern w:val="0"/>
                <w:sz w:val="18"/>
              </w:rPr>
            </w:pPr>
            <w:r w:rsidRPr="00A310A1">
              <w:rPr>
                <w:rFonts w:ascii="Times New Roman" w:eastAsia="楷体" w:hAnsi="Times New Roman" w:hint="eastAsia"/>
                <w:kern w:val="0"/>
                <w:sz w:val="18"/>
              </w:rPr>
              <w:t>Panel A</w:t>
            </w:r>
            <w:r w:rsidRPr="00A310A1">
              <w:rPr>
                <w:rFonts w:ascii="Times New Roman" w:eastAsia="楷体" w:hAnsi="Times New Roman" w:hint="eastAsia"/>
                <w:kern w:val="0"/>
                <w:sz w:val="18"/>
              </w:rPr>
              <w:t>：以</w:t>
            </w:r>
            <m:oMath>
              <m:r>
                <w:rPr>
                  <w:rFonts w:ascii="Cambria Math" w:eastAsia="楷体" w:hAnsi="Cambria Math" w:hint="eastAsia"/>
                  <w:kern w:val="0"/>
                  <w:sz w:val="18"/>
                </w:rPr>
                <m:t>finan</m:t>
              </m:r>
            </m:oMath>
            <w:r w:rsidRPr="00A310A1">
              <w:rPr>
                <w:rFonts w:ascii="Times New Roman" w:eastAsia="楷体" w:hAnsi="Times New Roman" w:hint="eastAsia"/>
                <w:kern w:val="0"/>
                <w:sz w:val="18"/>
              </w:rPr>
              <w:t>为被解释变量</w:t>
            </w:r>
          </w:p>
        </w:tc>
      </w:tr>
      <w:tr w:rsidR="00B14B62" w:rsidRPr="00A310A1" w14:paraId="332DA5DB" w14:textId="77777777" w:rsidTr="0076524C">
        <w:trPr>
          <w:jc w:val="center"/>
        </w:trPr>
        <w:tc>
          <w:tcPr>
            <w:tcW w:w="1096" w:type="pct"/>
            <w:vMerge w:val="restart"/>
            <w:tcBorders>
              <w:left w:val="nil"/>
              <w:right w:val="single" w:sz="4" w:space="0" w:color="auto"/>
            </w:tcBorders>
            <w:vAlign w:val="center"/>
          </w:tcPr>
          <w:p w14:paraId="41DA30B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i/>
                <w:iCs/>
                <w:kern w:val="0"/>
                <w:sz w:val="18"/>
              </w:rPr>
            </w:pPr>
            <m:oMathPara>
              <m:oMath>
                <m:r>
                  <w:rPr>
                    <w:rFonts w:ascii="Cambria Math" w:eastAsia="宋体" w:hAnsi="Cambria Math" w:cs="Times New Roman"/>
                    <w:kern w:val="0"/>
                    <w:sz w:val="18"/>
                  </w:rPr>
                  <m:t>Chain</m:t>
                </m:r>
              </m:oMath>
            </m:oMathPara>
          </w:p>
        </w:tc>
        <w:tc>
          <w:tcPr>
            <w:tcW w:w="564" w:type="pct"/>
            <w:tcBorders>
              <w:top w:val="single" w:sz="4" w:space="0" w:color="auto"/>
              <w:left w:val="single" w:sz="4" w:space="0" w:color="auto"/>
              <w:bottom w:val="nil"/>
              <w:right w:val="single" w:sz="4" w:space="0" w:color="auto"/>
            </w:tcBorders>
          </w:tcPr>
          <w:p w14:paraId="6A8B558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0.0195</w:t>
            </w:r>
            <w:r w:rsidRPr="00A310A1">
              <w:rPr>
                <w:rFonts w:ascii="Times New Roman" w:hAnsi="Times New Roman" w:cs="Times New Roman"/>
                <w:kern w:val="0"/>
                <w:sz w:val="18"/>
                <w:szCs w:val="18"/>
                <w:vertAlign w:val="superscript"/>
              </w:rPr>
              <w:t>***</w:t>
            </w:r>
          </w:p>
        </w:tc>
        <w:tc>
          <w:tcPr>
            <w:tcW w:w="568" w:type="pct"/>
            <w:tcBorders>
              <w:top w:val="single" w:sz="4" w:space="0" w:color="auto"/>
              <w:left w:val="single" w:sz="4" w:space="0" w:color="auto"/>
              <w:bottom w:val="nil"/>
              <w:right w:val="single" w:sz="4" w:space="0" w:color="auto"/>
            </w:tcBorders>
            <w:vAlign w:val="center"/>
          </w:tcPr>
          <w:p w14:paraId="7E5C608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0.0164</w:t>
            </w:r>
            <w:r w:rsidRPr="00A310A1">
              <w:rPr>
                <w:rFonts w:ascii="Times New Roman" w:eastAsia="宋体" w:hAnsi="Times New Roman" w:cs="Times New Roman"/>
                <w:kern w:val="0"/>
                <w:sz w:val="18"/>
                <w:vertAlign w:val="superscript"/>
              </w:rPr>
              <w:t>**</w:t>
            </w:r>
            <w:r w:rsidRPr="00A310A1">
              <w:rPr>
                <w:rFonts w:ascii="Times New Roman" w:hAnsi="Times New Roman" w:cs="Times New Roman"/>
                <w:kern w:val="0"/>
                <w:sz w:val="18"/>
                <w:szCs w:val="18"/>
                <w:vertAlign w:val="superscript"/>
              </w:rPr>
              <w:t>*</w:t>
            </w:r>
          </w:p>
        </w:tc>
        <w:tc>
          <w:tcPr>
            <w:tcW w:w="568" w:type="pct"/>
            <w:tcBorders>
              <w:top w:val="single" w:sz="4" w:space="0" w:color="auto"/>
              <w:left w:val="single" w:sz="4" w:space="0" w:color="auto"/>
              <w:bottom w:val="nil"/>
              <w:right w:val="single" w:sz="4" w:space="0" w:color="auto"/>
            </w:tcBorders>
          </w:tcPr>
          <w:p w14:paraId="38F0D28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w:t>
            </w:r>
            <w:r w:rsidRPr="00A310A1">
              <w:rPr>
                <w:rFonts w:ascii="Times New Roman" w:hAnsi="Times New Roman" w:cs="Times New Roman" w:hint="eastAsia"/>
                <w:kern w:val="0"/>
                <w:sz w:val="18"/>
                <w:szCs w:val="18"/>
              </w:rPr>
              <w:t>330</w:t>
            </w:r>
            <w:r w:rsidRPr="00A310A1">
              <w:rPr>
                <w:rFonts w:ascii="Times New Roman" w:hAnsi="Times New Roman" w:cs="Times New Roman"/>
                <w:kern w:val="0"/>
                <w:sz w:val="18"/>
                <w:szCs w:val="18"/>
                <w:vertAlign w:val="superscript"/>
              </w:rPr>
              <w:t>**</w:t>
            </w:r>
          </w:p>
        </w:tc>
        <w:tc>
          <w:tcPr>
            <w:tcW w:w="516" w:type="pct"/>
            <w:tcBorders>
              <w:top w:val="single" w:sz="4" w:space="0" w:color="auto"/>
              <w:left w:val="single" w:sz="4" w:space="0" w:color="auto"/>
              <w:bottom w:val="nil"/>
              <w:right w:val="single" w:sz="4" w:space="0" w:color="auto"/>
            </w:tcBorders>
          </w:tcPr>
          <w:p w14:paraId="09C9154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0.0141</w:t>
            </w:r>
            <w:r w:rsidRPr="00A310A1">
              <w:rPr>
                <w:rFonts w:ascii="Times New Roman" w:hAnsi="Times New Roman" w:cs="Times New Roman"/>
                <w:kern w:val="0"/>
                <w:sz w:val="18"/>
                <w:szCs w:val="18"/>
                <w:vertAlign w:val="superscript"/>
              </w:rPr>
              <w:t>**</w:t>
            </w:r>
          </w:p>
        </w:tc>
        <w:tc>
          <w:tcPr>
            <w:tcW w:w="515" w:type="pct"/>
            <w:tcBorders>
              <w:top w:val="single" w:sz="4" w:space="0" w:color="auto"/>
              <w:left w:val="single" w:sz="4" w:space="0" w:color="auto"/>
              <w:bottom w:val="nil"/>
              <w:right w:val="single" w:sz="4" w:space="0" w:color="auto"/>
            </w:tcBorders>
          </w:tcPr>
          <w:p w14:paraId="024314C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0.0489</w:t>
            </w:r>
            <w:r w:rsidRPr="00A310A1">
              <w:rPr>
                <w:rFonts w:ascii="Times New Roman" w:hAnsi="Times New Roman" w:cs="Times New Roman"/>
                <w:kern w:val="0"/>
                <w:sz w:val="18"/>
                <w:szCs w:val="18"/>
                <w:vertAlign w:val="superscript"/>
              </w:rPr>
              <w:t>***</w:t>
            </w:r>
          </w:p>
        </w:tc>
        <w:tc>
          <w:tcPr>
            <w:tcW w:w="515" w:type="pct"/>
            <w:tcBorders>
              <w:top w:val="single" w:sz="4" w:space="0" w:color="auto"/>
              <w:left w:val="single" w:sz="4" w:space="0" w:color="auto"/>
              <w:bottom w:val="nil"/>
              <w:right w:val="single" w:sz="4" w:space="0" w:color="auto"/>
            </w:tcBorders>
          </w:tcPr>
          <w:p w14:paraId="6280B5B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0.0194</w:t>
            </w:r>
            <w:r w:rsidRPr="00A310A1">
              <w:rPr>
                <w:rFonts w:ascii="Times New Roman" w:hAnsi="Times New Roman" w:cs="Times New Roman"/>
                <w:kern w:val="0"/>
                <w:sz w:val="18"/>
                <w:szCs w:val="18"/>
                <w:vertAlign w:val="superscript"/>
              </w:rPr>
              <w:t>***</w:t>
            </w:r>
          </w:p>
        </w:tc>
        <w:tc>
          <w:tcPr>
            <w:tcW w:w="658" w:type="pct"/>
            <w:tcBorders>
              <w:top w:val="single" w:sz="4" w:space="0" w:color="auto"/>
              <w:left w:val="single" w:sz="4" w:space="0" w:color="auto"/>
              <w:bottom w:val="nil"/>
            </w:tcBorders>
          </w:tcPr>
          <w:p w14:paraId="7EC6FEE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0.0154</w:t>
            </w:r>
            <w:r w:rsidRPr="00A310A1">
              <w:rPr>
                <w:rFonts w:ascii="Times New Roman" w:hAnsi="Times New Roman" w:cs="Times New Roman"/>
                <w:kern w:val="0"/>
                <w:sz w:val="18"/>
                <w:szCs w:val="18"/>
                <w:vertAlign w:val="superscript"/>
              </w:rPr>
              <w:t>***</w:t>
            </w:r>
          </w:p>
        </w:tc>
      </w:tr>
      <w:tr w:rsidR="00B14B62" w:rsidRPr="00A310A1" w14:paraId="537C8FCB" w14:textId="77777777" w:rsidTr="0076524C">
        <w:trPr>
          <w:jc w:val="center"/>
        </w:trPr>
        <w:tc>
          <w:tcPr>
            <w:tcW w:w="1096" w:type="pct"/>
            <w:vMerge/>
            <w:tcBorders>
              <w:top w:val="nil"/>
              <w:left w:val="nil"/>
              <w:bottom w:val="nil"/>
              <w:right w:val="single" w:sz="4" w:space="0" w:color="auto"/>
            </w:tcBorders>
            <w:vAlign w:val="center"/>
          </w:tcPr>
          <w:p w14:paraId="7940966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4" w:type="pct"/>
            <w:tcBorders>
              <w:top w:val="nil"/>
              <w:left w:val="single" w:sz="4" w:space="0" w:color="auto"/>
              <w:bottom w:val="nil"/>
              <w:right w:val="single" w:sz="4" w:space="0" w:color="auto"/>
            </w:tcBorders>
          </w:tcPr>
          <w:p w14:paraId="3DD6D11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(3.68)</w:t>
            </w:r>
          </w:p>
        </w:tc>
        <w:tc>
          <w:tcPr>
            <w:tcW w:w="568" w:type="pct"/>
            <w:tcBorders>
              <w:top w:val="nil"/>
              <w:left w:val="single" w:sz="4" w:space="0" w:color="auto"/>
              <w:bottom w:val="nil"/>
              <w:right w:val="single" w:sz="4" w:space="0" w:color="auto"/>
            </w:tcBorders>
            <w:vAlign w:val="center"/>
          </w:tcPr>
          <w:p w14:paraId="751F8FD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(2.78)</w:t>
            </w:r>
          </w:p>
        </w:tc>
        <w:tc>
          <w:tcPr>
            <w:tcW w:w="568" w:type="pct"/>
            <w:tcBorders>
              <w:top w:val="nil"/>
              <w:left w:val="single" w:sz="4" w:space="0" w:color="auto"/>
              <w:bottom w:val="nil"/>
              <w:right w:val="single" w:sz="4" w:space="0" w:color="auto"/>
            </w:tcBorders>
          </w:tcPr>
          <w:p w14:paraId="56DEA91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w:t>
            </w:r>
            <w:r w:rsidRPr="00A310A1">
              <w:rPr>
                <w:rFonts w:ascii="Times New Roman" w:hAnsi="Times New Roman" w:cs="Times New Roman" w:hint="eastAsia"/>
                <w:kern w:val="0"/>
                <w:sz w:val="18"/>
                <w:szCs w:val="18"/>
              </w:rPr>
              <w:t>43</w:t>
            </w:r>
            <w:r w:rsidRPr="00A310A1">
              <w:rPr>
                <w:rFonts w:ascii="Times New Roman" w:hAnsi="Times New Roman" w:cs="Times New Roman"/>
                <w:kern w:val="0"/>
                <w:sz w:val="18"/>
                <w:szCs w:val="18"/>
              </w:rPr>
              <w:t>)</w:t>
            </w:r>
          </w:p>
        </w:tc>
        <w:tc>
          <w:tcPr>
            <w:tcW w:w="516" w:type="pct"/>
            <w:tcBorders>
              <w:top w:val="nil"/>
              <w:left w:val="single" w:sz="4" w:space="0" w:color="auto"/>
              <w:bottom w:val="nil"/>
              <w:right w:val="single" w:sz="4" w:space="0" w:color="auto"/>
            </w:tcBorders>
          </w:tcPr>
          <w:p w14:paraId="370A8E6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(2.23)</w:t>
            </w:r>
          </w:p>
        </w:tc>
        <w:tc>
          <w:tcPr>
            <w:tcW w:w="515" w:type="pct"/>
            <w:tcBorders>
              <w:top w:val="nil"/>
              <w:left w:val="single" w:sz="4" w:space="0" w:color="auto"/>
              <w:bottom w:val="nil"/>
              <w:right w:val="single" w:sz="4" w:space="0" w:color="auto"/>
            </w:tcBorders>
          </w:tcPr>
          <w:p w14:paraId="2B051F11"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(5.60)</w:t>
            </w:r>
          </w:p>
        </w:tc>
        <w:tc>
          <w:tcPr>
            <w:tcW w:w="515" w:type="pct"/>
            <w:tcBorders>
              <w:top w:val="nil"/>
              <w:left w:val="single" w:sz="4" w:space="0" w:color="auto"/>
              <w:bottom w:val="nil"/>
              <w:right w:val="single" w:sz="4" w:space="0" w:color="auto"/>
            </w:tcBorders>
          </w:tcPr>
          <w:p w14:paraId="7E85A45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(3.38)</w:t>
            </w:r>
          </w:p>
        </w:tc>
        <w:tc>
          <w:tcPr>
            <w:tcW w:w="658" w:type="pct"/>
            <w:tcBorders>
              <w:top w:val="nil"/>
              <w:left w:val="single" w:sz="4" w:space="0" w:color="auto"/>
              <w:bottom w:val="nil"/>
            </w:tcBorders>
          </w:tcPr>
          <w:p w14:paraId="67FF9824"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(2.76)</w:t>
            </w:r>
          </w:p>
        </w:tc>
      </w:tr>
      <w:tr w:rsidR="00B14B62" w:rsidRPr="00A310A1" w14:paraId="687F09A9" w14:textId="77777777" w:rsidTr="0076524C">
        <w:trPr>
          <w:jc w:val="center"/>
        </w:trPr>
        <w:tc>
          <w:tcPr>
            <w:tcW w:w="1096" w:type="pct"/>
            <w:vMerge w:val="restart"/>
            <w:tcBorders>
              <w:top w:val="nil"/>
              <w:left w:val="nil"/>
              <w:right w:val="single" w:sz="4" w:space="0" w:color="auto"/>
            </w:tcBorders>
            <w:vAlign w:val="center"/>
          </w:tcPr>
          <w:p w14:paraId="6CA53C1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i/>
                <w:iCs/>
                <w:kern w:val="0"/>
                <w:sz w:val="18"/>
              </w:rPr>
            </w:pPr>
            <m:oMathPara>
              <m:oMath>
                <m:r>
                  <w:rPr>
                    <w:rFonts w:ascii="Cambria Math" w:eastAsia="宋体" w:hAnsi="Cambria Math" w:cs="Times New Roman"/>
                    <w:kern w:val="0"/>
                    <w:sz w:val="18"/>
                  </w:rPr>
                  <m:t>TC×Post</m:t>
                </m:r>
              </m:oMath>
            </m:oMathPara>
          </w:p>
        </w:tc>
        <w:tc>
          <w:tcPr>
            <w:tcW w:w="564" w:type="pct"/>
            <w:tcBorders>
              <w:top w:val="nil"/>
              <w:left w:val="single" w:sz="4" w:space="0" w:color="auto"/>
              <w:bottom w:val="nil"/>
              <w:right w:val="single" w:sz="4" w:space="0" w:color="auto"/>
            </w:tcBorders>
            <w:vAlign w:val="center"/>
          </w:tcPr>
          <w:p w14:paraId="19FFBE1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032C299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50441FE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6" w:type="pct"/>
            <w:tcBorders>
              <w:top w:val="nil"/>
              <w:left w:val="single" w:sz="4" w:space="0" w:color="auto"/>
              <w:bottom w:val="nil"/>
              <w:right w:val="single" w:sz="4" w:space="0" w:color="auto"/>
            </w:tcBorders>
            <w:vAlign w:val="center"/>
          </w:tcPr>
          <w:p w14:paraId="6089CF6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21E62FA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16C005D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658" w:type="pct"/>
            <w:tcBorders>
              <w:top w:val="nil"/>
              <w:left w:val="single" w:sz="4" w:space="0" w:color="auto"/>
              <w:bottom w:val="nil"/>
            </w:tcBorders>
          </w:tcPr>
          <w:p w14:paraId="5FAC1A6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-0.0787</w:t>
            </w:r>
            <w:r w:rsidRPr="00A310A1">
              <w:rPr>
                <w:rFonts w:ascii="Times New Roman" w:hAnsi="Times New Roman" w:cs="Times New Roman"/>
                <w:kern w:val="0"/>
                <w:sz w:val="18"/>
                <w:szCs w:val="18"/>
                <w:vertAlign w:val="superscript"/>
              </w:rPr>
              <w:t>***</w:t>
            </w:r>
          </w:p>
        </w:tc>
      </w:tr>
      <w:tr w:rsidR="00B14B62" w:rsidRPr="00A310A1" w14:paraId="2EE9B1AA" w14:textId="77777777" w:rsidTr="0076524C">
        <w:trPr>
          <w:jc w:val="center"/>
        </w:trPr>
        <w:tc>
          <w:tcPr>
            <w:tcW w:w="1096" w:type="pct"/>
            <w:vMerge/>
            <w:tcBorders>
              <w:left w:val="nil"/>
              <w:bottom w:val="nil"/>
              <w:right w:val="single" w:sz="4" w:space="0" w:color="auto"/>
            </w:tcBorders>
            <w:vAlign w:val="center"/>
          </w:tcPr>
          <w:p w14:paraId="6CA2837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4" w:type="pct"/>
            <w:tcBorders>
              <w:top w:val="nil"/>
              <w:left w:val="single" w:sz="4" w:space="0" w:color="auto"/>
              <w:bottom w:val="nil"/>
              <w:right w:val="single" w:sz="4" w:space="0" w:color="auto"/>
            </w:tcBorders>
            <w:vAlign w:val="center"/>
          </w:tcPr>
          <w:p w14:paraId="319A5BB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09BDACD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4C9C656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6" w:type="pct"/>
            <w:tcBorders>
              <w:top w:val="nil"/>
              <w:left w:val="single" w:sz="4" w:space="0" w:color="auto"/>
              <w:bottom w:val="nil"/>
              <w:right w:val="single" w:sz="4" w:space="0" w:color="auto"/>
            </w:tcBorders>
            <w:vAlign w:val="center"/>
          </w:tcPr>
          <w:p w14:paraId="26EB348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284BE30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025193A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658" w:type="pct"/>
            <w:tcBorders>
              <w:top w:val="nil"/>
              <w:left w:val="single" w:sz="4" w:space="0" w:color="auto"/>
              <w:bottom w:val="nil"/>
            </w:tcBorders>
          </w:tcPr>
          <w:p w14:paraId="0E996CA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(-10.03)</w:t>
            </w:r>
          </w:p>
        </w:tc>
      </w:tr>
      <w:tr w:rsidR="00B14B62" w:rsidRPr="00A310A1" w14:paraId="1D800627" w14:textId="77777777" w:rsidTr="0076524C">
        <w:trPr>
          <w:jc w:val="center"/>
        </w:trPr>
        <w:tc>
          <w:tcPr>
            <w:tcW w:w="1096" w:type="pct"/>
            <w:tcBorders>
              <w:top w:val="nil"/>
              <w:left w:val="nil"/>
              <w:bottom w:val="nil"/>
              <w:right w:val="single" w:sz="4" w:space="0" w:color="auto"/>
            </w:tcBorders>
            <w:vAlign w:val="center"/>
          </w:tcPr>
          <w:p w14:paraId="5651885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lastRenderedPageBreak/>
              <w:t>控制变量</w:t>
            </w:r>
          </w:p>
        </w:tc>
        <w:tc>
          <w:tcPr>
            <w:tcW w:w="564" w:type="pct"/>
            <w:tcBorders>
              <w:top w:val="nil"/>
              <w:left w:val="single" w:sz="4" w:space="0" w:color="auto"/>
              <w:bottom w:val="nil"/>
              <w:right w:val="single" w:sz="4" w:space="0" w:color="auto"/>
            </w:tcBorders>
            <w:vAlign w:val="center"/>
          </w:tcPr>
          <w:p w14:paraId="10E7892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1D85956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28C264E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6" w:type="pct"/>
            <w:tcBorders>
              <w:top w:val="nil"/>
              <w:left w:val="single" w:sz="4" w:space="0" w:color="auto"/>
              <w:bottom w:val="nil"/>
              <w:right w:val="single" w:sz="4" w:space="0" w:color="auto"/>
            </w:tcBorders>
            <w:vAlign w:val="center"/>
          </w:tcPr>
          <w:p w14:paraId="44A5670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186F50F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0181D52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658" w:type="pct"/>
            <w:tcBorders>
              <w:top w:val="nil"/>
              <w:left w:val="single" w:sz="4" w:space="0" w:color="auto"/>
              <w:bottom w:val="nil"/>
            </w:tcBorders>
            <w:vAlign w:val="center"/>
          </w:tcPr>
          <w:p w14:paraId="6CDAB5D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r>
      <w:tr w:rsidR="00B14B62" w:rsidRPr="00A310A1" w14:paraId="16A6F4B0" w14:textId="77777777" w:rsidTr="0076524C">
        <w:trPr>
          <w:jc w:val="center"/>
        </w:trPr>
        <w:tc>
          <w:tcPr>
            <w:tcW w:w="1096" w:type="pct"/>
            <w:tcBorders>
              <w:top w:val="nil"/>
              <w:left w:val="nil"/>
              <w:bottom w:val="nil"/>
              <w:right w:val="single" w:sz="4" w:space="0" w:color="auto"/>
            </w:tcBorders>
            <w:vAlign w:val="center"/>
          </w:tcPr>
          <w:p w14:paraId="5378D8F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企业固定效应</w:t>
            </w:r>
          </w:p>
        </w:tc>
        <w:tc>
          <w:tcPr>
            <w:tcW w:w="564" w:type="pct"/>
            <w:tcBorders>
              <w:top w:val="nil"/>
              <w:left w:val="single" w:sz="4" w:space="0" w:color="auto"/>
              <w:bottom w:val="nil"/>
              <w:right w:val="single" w:sz="4" w:space="0" w:color="auto"/>
            </w:tcBorders>
            <w:vAlign w:val="center"/>
          </w:tcPr>
          <w:p w14:paraId="5E284A8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4AC106B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6A2BB894"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6" w:type="pct"/>
            <w:tcBorders>
              <w:top w:val="nil"/>
              <w:left w:val="single" w:sz="4" w:space="0" w:color="auto"/>
              <w:bottom w:val="nil"/>
              <w:right w:val="single" w:sz="4" w:space="0" w:color="auto"/>
            </w:tcBorders>
            <w:vAlign w:val="center"/>
          </w:tcPr>
          <w:p w14:paraId="2A54E9A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16943DA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500DF9E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658" w:type="pct"/>
            <w:tcBorders>
              <w:top w:val="nil"/>
              <w:left w:val="single" w:sz="4" w:space="0" w:color="auto"/>
              <w:bottom w:val="nil"/>
            </w:tcBorders>
            <w:vAlign w:val="center"/>
          </w:tcPr>
          <w:p w14:paraId="4339ACC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r>
      <w:tr w:rsidR="00B14B62" w:rsidRPr="00A310A1" w14:paraId="39E9CEB8" w14:textId="77777777" w:rsidTr="0076524C">
        <w:trPr>
          <w:jc w:val="center"/>
        </w:trPr>
        <w:tc>
          <w:tcPr>
            <w:tcW w:w="1096" w:type="pct"/>
            <w:tcBorders>
              <w:top w:val="nil"/>
              <w:left w:val="nil"/>
              <w:bottom w:val="nil"/>
              <w:right w:val="single" w:sz="4" w:space="0" w:color="auto"/>
            </w:tcBorders>
            <w:vAlign w:val="center"/>
          </w:tcPr>
          <w:p w14:paraId="1E05D0F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年份固定效应</w:t>
            </w:r>
          </w:p>
        </w:tc>
        <w:tc>
          <w:tcPr>
            <w:tcW w:w="564" w:type="pct"/>
            <w:tcBorders>
              <w:top w:val="nil"/>
              <w:left w:val="single" w:sz="4" w:space="0" w:color="auto"/>
              <w:bottom w:val="nil"/>
              <w:right w:val="single" w:sz="4" w:space="0" w:color="auto"/>
            </w:tcBorders>
            <w:vAlign w:val="center"/>
          </w:tcPr>
          <w:p w14:paraId="602E6314"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6E9BDDD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6C9975D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6" w:type="pct"/>
            <w:tcBorders>
              <w:top w:val="nil"/>
              <w:left w:val="single" w:sz="4" w:space="0" w:color="auto"/>
              <w:bottom w:val="nil"/>
              <w:right w:val="single" w:sz="4" w:space="0" w:color="auto"/>
            </w:tcBorders>
            <w:vAlign w:val="center"/>
          </w:tcPr>
          <w:p w14:paraId="5649932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5F9E992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15" w:type="pct"/>
            <w:tcBorders>
              <w:top w:val="nil"/>
              <w:left w:val="single" w:sz="4" w:space="0" w:color="auto"/>
              <w:bottom w:val="nil"/>
              <w:right w:val="single" w:sz="4" w:space="0" w:color="auto"/>
            </w:tcBorders>
            <w:vAlign w:val="center"/>
          </w:tcPr>
          <w:p w14:paraId="6267500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658" w:type="pct"/>
            <w:tcBorders>
              <w:top w:val="nil"/>
              <w:left w:val="single" w:sz="4" w:space="0" w:color="auto"/>
              <w:bottom w:val="nil"/>
            </w:tcBorders>
            <w:vAlign w:val="center"/>
          </w:tcPr>
          <w:p w14:paraId="3075FFF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r>
      <w:tr w:rsidR="00B14B62" w:rsidRPr="00A310A1" w14:paraId="27C0DFD2" w14:textId="77777777" w:rsidTr="0076524C">
        <w:trPr>
          <w:jc w:val="center"/>
        </w:trPr>
        <w:tc>
          <w:tcPr>
            <w:tcW w:w="1096" w:type="pct"/>
            <w:tcBorders>
              <w:top w:val="nil"/>
              <w:left w:val="nil"/>
              <w:bottom w:val="nil"/>
              <w:right w:val="single" w:sz="4" w:space="0" w:color="auto"/>
            </w:tcBorders>
            <w:vAlign w:val="center"/>
          </w:tcPr>
          <w:p w14:paraId="59AC4BD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行业</w:t>
            </w:r>
            <w:r w:rsidRPr="00A310A1">
              <w:rPr>
                <w:rFonts w:ascii="Times New Roman" w:eastAsia="楷体" w:hAnsi="Times New Roman" w:hint="eastAsia"/>
                <w:kern w:val="0"/>
                <w:sz w:val="18"/>
              </w:rPr>
              <w:t>-</w:t>
            </w:r>
            <w:r w:rsidRPr="00A310A1">
              <w:rPr>
                <w:rFonts w:ascii="Times New Roman" w:eastAsia="楷体" w:hAnsi="Times New Roman" w:hint="eastAsia"/>
                <w:kern w:val="0"/>
                <w:sz w:val="18"/>
              </w:rPr>
              <w:t>年份固定效应</w:t>
            </w:r>
          </w:p>
        </w:tc>
        <w:tc>
          <w:tcPr>
            <w:tcW w:w="564" w:type="pct"/>
            <w:tcBorders>
              <w:top w:val="nil"/>
              <w:left w:val="single" w:sz="4" w:space="0" w:color="auto"/>
              <w:bottom w:val="nil"/>
              <w:right w:val="single" w:sz="4" w:space="0" w:color="auto"/>
            </w:tcBorders>
            <w:vAlign w:val="center"/>
          </w:tcPr>
          <w:p w14:paraId="41E5B57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是</w:t>
            </w:r>
          </w:p>
        </w:tc>
        <w:tc>
          <w:tcPr>
            <w:tcW w:w="568" w:type="pct"/>
            <w:tcBorders>
              <w:top w:val="nil"/>
              <w:left w:val="single" w:sz="4" w:space="0" w:color="auto"/>
              <w:bottom w:val="nil"/>
              <w:right w:val="single" w:sz="4" w:space="0" w:color="auto"/>
            </w:tcBorders>
            <w:vAlign w:val="center"/>
          </w:tcPr>
          <w:p w14:paraId="246F91F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c>
          <w:tcPr>
            <w:tcW w:w="568" w:type="pct"/>
            <w:tcBorders>
              <w:top w:val="nil"/>
              <w:left w:val="single" w:sz="4" w:space="0" w:color="auto"/>
              <w:bottom w:val="nil"/>
              <w:right w:val="single" w:sz="4" w:space="0" w:color="auto"/>
            </w:tcBorders>
            <w:vAlign w:val="center"/>
          </w:tcPr>
          <w:p w14:paraId="673E79C1"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c>
          <w:tcPr>
            <w:tcW w:w="516" w:type="pct"/>
            <w:tcBorders>
              <w:top w:val="nil"/>
              <w:left w:val="single" w:sz="4" w:space="0" w:color="auto"/>
              <w:bottom w:val="nil"/>
              <w:right w:val="single" w:sz="4" w:space="0" w:color="auto"/>
            </w:tcBorders>
            <w:vAlign w:val="center"/>
          </w:tcPr>
          <w:p w14:paraId="62D1CB9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c>
          <w:tcPr>
            <w:tcW w:w="515" w:type="pct"/>
            <w:tcBorders>
              <w:top w:val="nil"/>
              <w:left w:val="single" w:sz="4" w:space="0" w:color="auto"/>
              <w:bottom w:val="nil"/>
              <w:right w:val="single" w:sz="4" w:space="0" w:color="auto"/>
            </w:tcBorders>
            <w:vAlign w:val="center"/>
          </w:tcPr>
          <w:p w14:paraId="257C179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c>
          <w:tcPr>
            <w:tcW w:w="515" w:type="pct"/>
            <w:tcBorders>
              <w:top w:val="nil"/>
              <w:left w:val="single" w:sz="4" w:space="0" w:color="auto"/>
              <w:bottom w:val="nil"/>
              <w:right w:val="single" w:sz="4" w:space="0" w:color="auto"/>
            </w:tcBorders>
            <w:vAlign w:val="center"/>
          </w:tcPr>
          <w:p w14:paraId="24A24E2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c>
          <w:tcPr>
            <w:tcW w:w="658" w:type="pct"/>
            <w:tcBorders>
              <w:top w:val="nil"/>
              <w:left w:val="single" w:sz="4" w:space="0" w:color="auto"/>
              <w:bottom w:val="nil"/>
            </w:tcBorders>
            <w:vAlign w:val="center"/>
          </w:tcPr>
          <w:p w14:paraId="019E0F6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楷体" w:hAnsi="Times New Roman"/>
                <w:kern w:val="0"/>
                <w:sz w:val="18"/>
              </w:rPr>
            </w:pPr>
            <w:r w:rsidRPr="00A310A1">
              <w:rPr>
                <w:rFonts w:ascii="Times New Roman" w:eastAsia="楷体" w:hAnsi="Times New Roman" w:hint="eastAsia"/>
                <w:kern w:val="0"/>
                <w:sz w:val="18"/>
              </w:rPr>
              <w:t>否</w:t>
            </w:r>
          </w:p>
        </w:tc>
      </w:tr>
      <w:tr w:rsidR="00B14B62" w:rsidRPr="00A310A1" w14:paraId="47132DA0" w14:textId="77777777" w:rsidTr="0076524C">
        <w:trPr>
          <w:jc w:val="center"/>
        </w:trPr>
        <w:tc>
          <w:tcPr>
            <w:tcW w:w="1096" w:type="pct"/>
            <w:tcBorders>
              <w:top w:val="nil"/>
              <w:left w:val="nil"/>
              <w:bottom w:val="nil"/>
              <w:right w:val="single" w:sz="4" w:space="0" w:color="auto"/>
            </w:tcBorders>
            <w:vAlign w:val="center"/>
          </w:tcPr>
          <w:p w14:paraId="2D573E21"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i/>
                <w:iCs/>
                <w:kern w:val="0"/>
                <w:sz w:val="18"/>
              </w:rPr>
              <w:t>N</w:t>
            </w:r>
          </w:p>
        </w:tc>
        <w:tc>
          <w:tcPr>
            <w:tcW w:w="564" w:type="pct"/>
            <w:tcBorders>
              <w:top w:val="nil"/>
              <w:left w:val="single" w:sz="4" w:space="0" w:color="auto"/>
              <w:bottom w:val="nil"/>
              <w:right w:val="single" w:sz="4" w:space="0" w:color="auto"/>
            </w:tcBorders>
          </w:tcPr>
          <w:p w14:paraId="06F737D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35819</w:t>
            </w:r>
          </w:p>
        </w:tc>
        <w:tc>
          <w:tcPr>
            <w:tcW w:w="568" w:type="pct"/>
            <w:tcBorders>
              <w:top w:val="nil"/>
              <w:left w:val="single" w:sz="4" w:space="0" w:color="auto"/>
              <w:bottom w:val="nil"/>
              <w:right w:val="single" w:sz="4" w:space="0" w:color="auto"/>
            </w:tcBorders>
          </w:tcPr>
          <w:p w14:paraId="5527007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35850</w:t>
            </w:r>
          </w:p>
        </w:tc>
        <w:tc>
          <w:tcPr>
            <w:tcW w:w="568" w:type="pct"/>
            <w:tcBorders>
              <w:top w:val="nil"/>
              <w:left w:val="single" w:sz="4" w:space="0" w:color="auto"/>
              <w:bottom w:val="nil"/>
              <w:right w:val="single" w:sz="4" w:space="0" w:color="auto"/>
            </w:tcBorders>
          </w:tcPr>
          <w:p w14:paraId="544AFD3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hint="eastAsia"/>
                <w:kern w:val="0"/>
                <w:sz w:val="18"/>
                <w:szCs w:val="18"/>
              </w:rPr>
              <w:t>26927</w:t>
            </w:r>
          </w:p>
        </w:tc>
        <w:tc>
          <w:tcPr>
            <w:tcW w:w="516" w:type="pct"/>
            <w:tcBorders>
              <w:top w:val="nil"/>
              <w:left w:val="single" w:sz="4" w:space="0" w:color="auto"/>
              <w:bottom w:val="nil"/>
              <w:right w:val="single" w:sz="4" w:space="0" w:color="auto"/>
            </w:tcBorders>
          </w:tcPr>
          <w:p w14:paraId="5BE0E68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23423</w:t>
            </w:r>
          </w:p>
        </w:tc>
        <w:tc>
          <w:tcPr>
            <w:tcW w:w="515" w:type="pct"/>
            <w:tcBorders>
              <w:top w:val="nil"/>
              <w:left w:val="single" w:sz="4" w:space="0" w:color="auto"/>
              <w:bottom w:val="nil"/>
              <w:right w:val="single" w:sz="4" w:space="0" w:color="auto"/>
            </w:tcBorders>
          </w:tcPr>
          <w:p w14:paraId="5DF8575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46651</w:t>
            </w:r>
          </w:p>
        </w:tc>
        <w:tc>
          <w:tcPr>
            <w:tcW w:w="515" w:type="pct"/>
            <w:tcBorders>
              <w:top w:val="nil"/>
              <w:left w:val="single" w:sz="4" w:space="0" w:color="auto"/>
              <w:bottom w:val="nil"/>
              <w:right w:val="single" w:sz="4" w:space="0" w:color="auto"/>
            </w:tcBorders>
          </w:tcPr>
          <w:p w14:paraId="1B3C0C2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33943</w:t>
            </w:r>
          </w:p>
        </w:tc>
        <w:tc>
          <w:tcPr>
            <w:tcW w:w="658" w:type="pct"/>
            <w:tcBorders>
              <w:top w:val="nil"/>
              <w:left w:val="single" w:sz="4" w:space="0" w:color="auto"/>
              <w:bottom w:val="nil"/>
            </w:tcBorders>
          </w:tcPr>
          <w:p w14:paraId="69AA588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35881</w:t>
            </w:r>
          </w:p>
        </w:tc>
      </w:tr>
      <w:tr w:rsidR="00B14B62" w:rsidRPr="00A310A1" w14:paraId="4082F50F" w14:textId="77777777" w:rsidTr="0076524C">
        <w:trPr>
          <w:jc w:val="center"/>
        </w:trPr>
        <w:tc>
          <w:tcPr>
            <w:tcW w:w="1096" w:type="pct"/>
            <w:tcBorders>
              <w:top w:val="nil"/>
              <w:left w:val="nil"/>
              <w:bottom w:val="single" w:sz="4" w:space="0" w:color="auto"/>
              <w:right w:val="single" w:sz="4" w:space="0" w:color="auto"/>
            </w:tcBorders>
            <w:vAlign w:val="center"/>
          </w:tcPr>
          <w:p w14:paraId="45CA334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 xml:space="preserve">adj. </w:t>
            </w:r>
            <w:r w:rsidRPr="00A310A1">
              <w:rPr>
                <w:rFonts w:ascii="Times New Roman" w:eastAsia="宋体" w:hAnsi="Times New Roman" w:cs="Times New Roman"/>
                <w:i/>
                <w:iCs/>
                <w:kern w:val="0"/>
                <w:sz w:val="18"/>
              </w:rPr>
              <w:t>R</w:t>
            </w:r>
            <w:r w:rsidRPr="00A310A1">
              <w:rPr>
                <w:rFonts w:ascii="Times New Roman" w:eastAsia="宋体" w:hAnsi="Times New Roman" w:cs="Times New Roman"/>
                <w:kern w:val="0"/>
                <w:sz w:val="18"/>
                <w:vertAlign w:val="superscript"/>
              </w:rPr>
              <w:t>2</w:t>
            </w:r>
          </w:p>
        </w:tc>
        <w:tc>
          <w:tcPr>
            <w:tcW w:w="564" w:type="pct"/>
            <w:tcBorders>
              <w:top w:val="nil"/>
              <w:left w:val="single" w:sz="4" w:space="0" w:color="auto"/>
              <w:bottom w:val="single" w:sz="4" w:space="0" w:color="auto"/>
              <w:right w:val="single" w:sz="4" w:space="0" w:color="auto"/>
            </w:tcBorders>
          </w:tcPr>
          <w:p w14:paraId="791D4689"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0.6243</w:t>
            </w:r>
          </w:p>
        </w:tc>
        <w:tc>
          <w:tcPr>
            <w:tcW w:w="568" w:type="pct"/>
            <w:tcBorders>
              <w:top w:val="nil"/>
              <w:left w:val="single" w:sz="4" w:space="0" w:color="auto"/>
              <w:bottom w:val="single" w:sz="4" w:space="0" w:color="auto"/>
              <w:right w:val="single" w:sz="4" w:space="0" w:color="auto"/>
            </w:tcBorders>
          </w:tcPr>
          <w:p w14:paraId="7327F49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0.6150</w:t>
            </w:r>
          </w:p>
        </w:tc>
        <w:tc>
          <w:tcPr>
            <w:tcW w:w="568" w:type="pct"/>
            <w:tcBorders>
              <w:top w:val="nil"/>
              <w:left w:val="single" w:sz="4" w:space="0" w:color="auto"/>
              <w:bottom w:val="single" w:sz="4" w:space="0" w:color="auto"/>
              <w:right w:val="single" w:sz="4" w:space="0" w:color="auto"/>
            </w:tcBorders>
          </w:tcPr>
          <w:p w14:paraId="5EE0658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0.6205</w:t>
            </w:r>
          </w:p>
        </w:tc>
        <w:tc>
          <w:tcPr>
            <w:tcW w:w="516" w:type="pct"/>
            <w:tcBorders>
              <w:top w:val="nil"/>
              <w:left w:val="single" w:sz="4" w:space="0" w:color="auto"/>
              <w:bottom w:val="single" w:sz="4" w:space="0" w:color="auto"/>
              <w:right w:val="single" w:sz="4" w:space="0" w:color="auto"/>
            </w:tcBorders>
          </w:tcPr>
          <w:p w14:paraId="61A3F04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0.5831</w:t>
            </w:r>
          </w:p>
        </w:tc>
        <w:tc>
          <w:tcPr>
            <w:tcW w:w="515" w:type="pct"/>
            <w:tcBorders>
              <w:top w:val="nil"/>
              <w:left w:val="single" w:sz="4" w:space="0" w:color="auto"/>
              <w:bottom w:val="single" w:sz="4" w:space="0" w:color="auto"/>
              <w:right w:val="single" w:sz="4" w:space="0" w:color="auto"/>
            </w:tcBorders>
          </w:tcPr>
          <w:p w14:paraId="6946379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0.6621</w:t>
            </w:r>
          </w:p>
        </w:tc>
        <w:tc>
          <w:tcPr>
            <w:tcW w:w="515" w:type="pct"/>
            <w:tcBorders>
              <w:top w:val="nil"/>
              <w:left w:val="single" w:sz="4" w:space="0" w:color="auto"/>
              <w:bottom w:val="single" w:sz="4" w:space="0" w:color="auto"/>
              <w:right w:val="single" w:sz="4" w:space="0" w:color="auto"/>
            </w:tcBorders>
          </w:tcPr>
          <w:p w14:paraId="45CEE36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0.6152</w:t>
            </w:r>
          </w:p>
        </w:tc>
        <w:tc>
          <w:tcPr>
            <w:tcW w:w="658" w:type="pct"/>
            <w:tcBorders>
              <w:top w:val="nil"/>
              <w:left w:val="single" w:sz="4" w:space="0" w:color="auto"/>
              <w:bottom w:val="single" w:sz="4" w:space="0" w:color="auto"/>
            </w:tcBorders>
          </w:tcPr>
          <w:p w14:paraId="2CF7FBC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0.6177</w:t>
            </w:r>
          </w:p>
        </w:tc>
      </w:tr>
      <w:tr w:rsidR="00B14B62" w:rsidRPr="00A310A1" w14:paraId="4BE3D2BD" w14:textId="77777777" w:rsidTr="0076524C">
        <w:trPr>
          <w:jc w:val="center"/>
        </w:trPr>
        <w:tc>
          <w:tcPr>
            <w:tcW w:w="5000" w:type="pct"/>
            <w:gridSpan w:val="8"/>
            <w:tcBorders>
              <w:top w:val="single" w:sz="4" w:space="0" w:color="auto"/>
              <w:left w:val="nil"/>
            </w:tcBorders>
            <w:vAlign w:val="center"/>
          </w:tcPr>
          <w:p w14:paraId="7B000C46" w14:textId="77777777" w:rsidR="00B14B62" w:rsidRPr="00A310A1" w:rsidRDefault="00B14B62" w:rsidP="00B14B62">
            <w:pPr>
              <w:autoSpaceDE w:val="0"/>
              <w:autoSpaceDN w:val="0"/>
              <w:adjustRightInd w:val="0"/>
              <w:spacing w:line="200" w:lineRule="exact"/>
              <w:ind w:firstLineChars="0" w:firstLine="0"/>
              <w:rPr>
                <w:rFonts w:ascii="Times New Roman" w:eastAsia="楷体" w:hAnsi="Times New Roman"/>
                <w:kern w:val="0"/>
                <w:sz w:val="18"/>
              </w:rPr>
            </w:pPr>
            <w:r w:rsidRPr="00A310A1">
              <w:rPr>
                <w:rFonts w:ascii="Times New Roman" w:eastAsia="楷体" w:hAnsi="Times New Roman" w:hint="eastAsia"/>
                <w:kern w:val="0"/>
                <w:sz w:val="18"/>
              </w:rPr>
              <w:t>Panel B</w:t>
            </w:r>
            <w:r w:rsidRPr="00A310A1">
              <w:rPr>
                <w:rFonts w:ascii="Times New Roman" w:eastAsia="楷体" w:hAnsi="Times New Roman" w:hint="eastAsia"/>
                <w:kern w:val="0"/>
                <w:sz w:val="18"/>
              </w:rPr>
              <w:t>：以</w:t>
            </w:r>
            <m:oMath>
              <m:r>
                <w:rPr>
                  <w:rFonts w:ascii="Cambria Math" w:eastAsia="楷体" w:hAnsi="Cambria Math" w:hint="eastAsia"/>
                  <w:kern w:val="0"/>
                  <w:sz w:val="18"/>
                </w:rPr>
                <m:t>overfinan</m:t>
              </m:r>
            </m:oMath>
            <w:r w:rsidRPr="00A310A1">
              <w:rPr>
                <w:rFonts w:ascii="Times New Roman" w:eastAsia="楷体" w:hAnsi="Times New Roman" w:hint="eastAsia"/>
                <w:kern w:val="0"/>
                <w:sz w:val="18"/>
              </w:rPr>
              <w:t>为被解释变量</w:t>
            </w:r>
          </w:p>
        </w:tc>
      </w:tr>
      <w:tr w:rsidR="00B14B62" w:rsidRPr="00A310A1" w14:paraId="56999304" w14:textId="77777777" w:rsidTr="0076524C">
        <w:trPr>
          <w:jc w:val="center"/>
        </w:trPr>
        <w:tc>
          <w:tcPr>
            <w:tcW w:w="1096" w:type="pct"/>
            <w:vMerge w:val="restart"/>
            <w:tcBorders>
              <w:top w:val="single" w:sz="4" w:space="0" w:color="auto"/>
              <w:left w:val="nil"/>
              <w:bottom w:val="nil"/>
              <w:right w:val="single" w:sz="4" w:space="0" w:color="auto"/>
            </w:tcBorders>
            <w:vAlign w:val="center"/>
          </w:tcPr>
          <w:p w14:paraId="7E18797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i/>
                <w:iCs/>
                <w:kern w:val="0"/>
                <w:sz w:val="18"/>
              </w:rPr>
            </w:pPr>
            <m:oMathPara>
              <m:oMath>
                <m:r>
                  <w:rPr>
                    <w:rFonts w:ascii="Cambria Math" w:eastAsia="宋体" w:hAnsi="Cambria Math" w:cs="Times New Roman"/>
                    <w:kern w:val="0"/>
                    <w:sz w:val="18"/>
                  </w:rPr>
                  <m:t>Chain</m:t>
                </m:r>
              </m:oMath>
            </m:oMathPara>
          </w:p>
        </w:tc>
        <w:tc>
          <w:tcPr>
            <w:tcW w:w="564" w:type="pct"/>
            <w:tcBorders>
              <w:top w:val="single" w:sz="4" w:space="0" w:color="auto"/>
              <w:left w:val="single" w:sz="4" w:space="0" w:color="auto"/>
              <w:bottom w:val="nil"/>
              <w:right w:val="single" w:sz="4" w:space="0" w:color="auto"/>
            </w:tcBorders>
          </w:tcPr>
          <w:p w14:paraId="0BF9D901"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0.0599</w:t>
            </w:r>
            <w:r w:rsidRPr="00A310A1">
              <w:rPr>
                <w:rFonts w:ascii="Times New Roman" w:hAnsi="Times New Roman" w:cs="Times New Roman"/>
                <w:kern w:val="0"/>
                <w:sz w:val="18"/>
                <w:szCs w:val="18"/>
                <w:vertAlign w:val="superscript"/>
              </w:rPr>
              <w:t>***</w:t>
            </w:r>
          </w:p>
        </w:tc>
        <w:tc>
          <w:tcPr>
            <w:tcW w:w="568" w:type="pct"/>
            <w:tcBorders>
              <w:top w:val="single" w:sz="4" w:space="0" w:color="auto"/>
              <w:left w:val="single" w:sz="4" w:space="0" w:color="auto"/>
              <w:bottom w:val="nil"/>
              <w:right w:val="single" w:sz="4" w:space="0" w:color="auto"/>
            </w:tcBorders>
          </w:tcPr>
          <w:p w14:paraId="0B06A32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0.0590</w:t>
            </w:r>
            <w:r w:rsidRPr="00A310A1">
              <w:rPr>
                <w:rFonts w:ascii="Times New Roman" w:hAnsi="Times New Roman" w:cs="Times New Roman"/>
                <w:kern w:val="0"/>
                <w:sz w:val="18"/>
                <w:szCs w:val="18"/>
                <w:vertAlign w:val="superscript"/>
              </w:rPr>
              <w:t>***</w:t>
            </w:r>
          </w:p>
        </w:tc>
        <w:tc>
          <w:tcPr>
            <w:tcW w:w="568" w:type="pct"/>
            <w:tcBorders>
              <w:top w:val="single" w:sz="4" w:space="0" w:color="auto"/>
              <w:left w:val="single" w:sz="4" w:space="0" w:color="auto"/>
              <w:bottom w:val="nil"/>
              <w:right w:val="single" w:sz="4" w:space="0" w:color="auto"/>
            </w:tcBorders>
          </w:tcPr>
          <w:p w14:paraId="18ADD3F4"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hint="eastAsia"/>
                <w:kern w:val="0"/>
                <w:sz w:val="18"/>
                <w:szCs w:val="18"/>
              </w:rPr>
              <w:t>1.6822</w:t>
            </w:r>
            <w:r w:rsidRPr="00A310A1">
              <w:rPr>
                <w:rFonts w:ascii="Times New Roman" w:hAnsi="Times New Roman" w:cs="Times New Roman"/>
                <w:kern w:val="0"/>
                <w:sz w:val="18"/>
                <w:szCs w:val="18"/>
                <w:vertAlign w:val="superscript"/>
              </w:rPr>
              <w:t>**</w:t>
            </w:r>
          </w:p>
        </w:tc>
        <w:tc>
          <w:tcPr>
            <w:tcW w:w="516" w:type="pct"/>
            <w:tcBorders>
              <w:top w:val="single" w:sz="4" w:space="0" w:color="auto"/>
              <w:left w:val="single" w:sz="4" w:space="0" w:color="auto"/>
              <w:bottom w:val="nil"/>
              <w:right w:val="single" w:sz="4" w:space="0" w:color="auto"/>
            </w:tcBorders>
          </w:tcPr>
          <w:p w14:paraId="5FA907BD"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0.0451</w:t>
            </w:r>
            <w:r w:rsidRPr="00A310A1">
              <w:rPr>
                <w:rFonts w:ascii="Times New Roman" w:hAnsi="Times New Roman" w:cs="Times New Roman"/>
                <w:kern w:val="0"/>
                <w:sz w:val="18"/>
                <w:szCs w:val="18"/>
                <w:vertAlign w:val="superscript"/>
              </w:rPr>
              <w:t>***</w:t>
            </w:r>
          </w:p>
        </w:tc>
        <w:tc>
          <w:tcPr>
            <w:tcW w:w="515" w:type="pct"/>
            <w:tcBorders>
              <w:top w:val="single" w:sz="4" w:space="0" w:color="auto"/>
              <w:left w:val="single" w:sz="4" w:space="0" w:color="auto"/>
              <w:bottom w:val="nil"/>
              <w:right w:val="single" w:sz="4" w:space="0" w:color="auto"/>
            </w:tcBorders>
          </w:tcPr>
          <w:p w14:paraId="729ABE2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0.0796</w:t>
            </w:r>
            <w:r w:rsidRPr="00A310A1">
              <w:rPr>
                <w:rFonts w:ascii="Times New Roman" w:hAnsi="Times New Roman" w:cs="Times New Roman"/>
                <w:kern w:val="0"/>
                <w:sz w:val="18"/>
                <w:szCs w:val="18"/>
                <w:vertAlign w:val="superscript"/>
              </w:rPr>
              <w:t>***</w:t>
            </w:r>
          </w:p>
        </w:tc>
        <w:tc>
          <w:tcPr>
            <w:tcW w:w="515" w:type="pct"/>
            <w:tcBorders>
              <w:top w:val="single" w:sz="4" w:space="0" w:color="auto"/>
              <w:left w:val="single" w:sz="4" w:space="0" w:color="auto"/>
              <w:bottom w:val="nil"/>
              <w:right w:val="single" w:sz="4" w:space="0" w:color="auto"/>
            </w:tcBorders>
          </w:tcPr>
          <w:p w14:paraId="357E4FA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0.0661</w:t>
            </w:r>
            <w:r w:rsidRPr="00A310A1">
              <w:rPr>
                <w:rFonts w:ascii="Times New Roman" w:hAnsi="Times New Roman" w:cs="Times New Roman"/>
                <w:kern w:val="0"/>
                <w:sz w:val="18"/>
                <w:szCs w:val="18"/>
                <w:vertAlign w:val="superscript"/>
              </w:rPr>
              <w:t>***</w:t>
            </w:r>
          </w:p>
        </w:tc>
        <w:tc>
          <w:tcPr>
            <w:tcW w:w="658" w:type="pct"/>
            <w:tcBorders>
              <w:top w:val="single" w:sz="4" w:space="0" w:color="auto"/>
              <w:left w:val="single" w:sz="4" w:space="0" w:color="auto"/>
              <w:bottom w:val="nil"/>
            </w:tcBorders>
          </w:tcPr>
          <w:p w14:paraId="49C2F0B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0.0583</w:t>
            </w:r>
            <w:r w:rsidRPr="00A310A1">
              <w:rPr>
                <w:rFonts w:ascii="Times New Roman" w:hAnsi="Times New Roman" w:cs="Times New Roman"/>
                <w:kern w:val="0"/>
                <w:sz w:val="18"/>
                <w:szCs w:val="18"/>
                <w:vertAlign w:val="superscript"/>
              </w:rPr>
              <w:t>***</w:t>
            </w:r>
          </w:p>
        </w:tc>
      </w:tr>
      <w:tr w:rsidR="00B14B62" w:rsidRPr="00A310A1" w14:paraId="1890F7C8" w14:textId="77777777" w:rsidTr="0076524C">
        <w:trPr>
          <w:jc w:val="center"/>
        </w:trPr>
        <w:tc>
          <w:tcPr>
            <w:tcW w:w="1096" w:type="pct"/>
            <w:vMerge/>
            <w:tcBorders>
              <w:top w:val="single" w:sz="4" w:space="0" w:color="auto"/>
              <w:left w:val="nil"/>
              <w:bottom w:val="nil"/>
              <w:right w:val="single" w:sz="4" w:space="0" w:color="auto"/>
            </w:tcBorders>
            <w:vAlign w:val="center"/>
          </w:tcPr>
          <w:p w14:paraId="5CA9E7ED"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4" w:type="pct"/>
            <w:tcBorders>
              <w:top w:val="nil"/>
              <w:left w:val="single" w:sz="4" w:space="0" w:color="auto"/>
              <w:bottom w:val="nil"/>
              <w:right w:val="single" w:sz="4" w:space="0" w:color="auto"/>
            </w:tcBorders>
          </w:tcPr>
          <w:p w14:paraId="7D336961"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(4.64)</w:t>
            </w:r>
          </w:p>
        </w:tc>
        <w:tc>
          <w:tcPr>
            <w:tcW w:w="568" w:type="pct"/>
            <w:tcBorders>
              <w:top w:val="nil"/>
              <w:left w:val="single" w:sz="4" w:space="0" w:color="auto"/>
              <w:bottom w:val="nil"/>
              <w:right w:val="single" w:sz="4" w:space="0" w:color="auto"/>
            </w:tcBorders>
          </w:tcPr>
          <w:p w14:paraId="385E98DD"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(4.58)</w:t>
            </w:r>
          </w:p>
        </w:tc>
        <w:tc>
          <w:tcPr>
            <w:tcW w:w="568" w:type="pct"/>
            <w:tcBorders>
              <w:top w:val="nil"/>
              <w:left w:val="single" w:sz="4" w:space="0" w:color="auto"/>
              <w:bottom w:val="nil"/>
              <w:right w:val="single" w:sz="4" w:space="0" w:color="auto"/>
            </w:tcBorders>
          </w:tcPr>
          <w:p w14:paraId="201B1C0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w:t>
            </w:r>
            <w:r w:rsidRPr="00A310A1">
              <w:rPr>
                <w:rFonts w:ascii="Times New Roman" w:hAnsi="Times New Roman" w:cs="Times New Roman" w:hint="eastAsia"/>
                <w:kern w:val="0"/>
                <w:sz w:val="18"/>
                <w:szCs w:val="18"/>
              </w:rPr>
              <w:t>2.21</w:t>
            </w:r>
            <w:r w:rsidRPr="00A310A1">
              <w:rPr>
                <w:rFonts w:ascii="Times New Roman" w:hAnsi="Times New Roman" w:cs="Times New Roman"/>
                <w:kern w:val="0"/>
                <w:sz w:val="18"/>
                <w:szCs w:val="18"/>
              </w:rPr>
              <w:t>)</w:t>
            </w:r>
          </w:p>
        </w:tc>
        <w:tc>
          <w:tcPr>
            <w:tcW w:w="516" w:type="pct"/>
            <w:tcBorders>
              <w:top w:val="nil"/>
              <w:left w:val="single" w:sz="4" w:space="0" w:color="auto"/>
              <w:bottom w:val="nil"/>
              <w:right w:val="single" w:sz="4" w:space="0" w:color="auto"/>
            </w:tcBorders>
          </w:tcPr>
          <w:p w14:paraId="4B0FAFF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(2.63)</w:t>
            </w:r>
          </w:p>
        </w:tc>
        <w:tc>
          <w:tcPr>
            <w:tcW w:w="515" w:type="pct"/>
            <w:tcBorders>
              <w:top w:val="nil"/>
              <w:left w:val="single" w:sz="4" w:space="0" w:color="auto"/>
              <w:bottom w:val="nil"/>
              <w:right w:val="single" w:sz="4" w:space="0" w:color="auto"/>
            </w:tcBorders>
          </w:tcPr>
          <w:p w14:paraId="33DE1B4D"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(6.39)</w:t>
            </w:r>
          </w:p>
        </w:tc>
        <w:tc>
          <w:tcPr>
            <w:tcW w:w="515" w:type="pct"/>
            <w:tcBorders>
              <w:top w:val="nil"/>
              <w:left w:val="single" w:sz="4" w:space="0" w:color="auto"/>
              <w:bottom w:val="nil"/>
              <w:right w:val="single" w:sz="4" w:space="0" w:color="auto"/>
            </w:tcBorders>
          </w:tcPr>
          <w:p w14:paraId="6ACA35E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(4.83)</w:t>
            </w:r>
          </w:p>
        </w:tc>
        <w:tc>
          <w:tcPr>
            <w:tcW w:w="658" w:type="pct"/>
            <w:tcBorders>
              <w:top w:val="nil"/>
              <w:left w:val="single" w:sz="4" w:space="0" w:color="auto"/>
              <w:bottom w:val="nil"/>
            </w:tcBorders>
          </w:tcPr>
          <w:p w14:paraId="6A8201E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(4.36)</w:t>
            </w:r>
          </w:p>
        </w:tc>
      </w:tr>
      <w:tr w:rsidR="00B14B62" w:rsidRPr="00A310A1" w14:paraId="0544ADE7" w14:textId="77777777" w:rsidTr="0076524C">
        <w:trPr>
          <w:jc w:val="center"/>
        </w:trPr>
        <w:tc>
          <w:tcPr>
            <w:tcW w:w="1096" w:type="pct"/>
            <w:vMerge w:val="restart"/>
            <w:tcBorders>
              <w:top w:val="nil"/>
              <w:left w:val="nil"/>
              <w:right w:val="single" w:sz="4" w:space="0" w:color="auto"/>
            </w:tcBorders>
            <w:vAlign w:val="center"/>
          </w:tcPr>
          <w:p w14:paraId="0C7E71D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m:oMathPara>
              <m:oMath>
                <m:r>
                  <w:rPr>
                    <w:rFonts w:ascii="Cambria Math" w:eastAsia="宋体" w:hAnsi="Cambria Math" w:cs="Times New Roman"/>
                    <w:kern w:val="0"/>
                    <w:sz w:val="18"/>
                  </w:rPr>
                  <m:t>TC×Post</m:t>
                </m:r>
              </m:oMath>
            </m:oMathPara>
          </w:p>
        </w:tc>
        <w:tc>
          <w:tcPr>
            <w:tcW w:w="564" w:type="pct"/>
            <w:tcBorders>
              <w:top w:val="nil"/>
              <w:left w:val="single" w:sz="4" w:space="0" w:color="auto"/>
              <w:bottom w:val="nil"/>
              <w:right w:val="single" w:sz="4" w:space="0" w:color="auto"/>
            </w:tcBorders>
            <w:vAlign w:val="center"/>
          </w:tcPr>
          <w:p w14:paraId="69E2628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2CEAC6E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45DE9C4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6" w:type="pct"/>
            <w:tcBorders>
              <w:top w:val="nil"/>
              <w:left w:val="single" w:sz="4" w:space="0" w:color="auto"/>
              <w:bottom w:val="nil"/>
              <w:right w:val="single" w:sz="4" w:space="0" w:color="auto"/>
            </w:tcBorders>
            <w:vAlign w:val="center"/>
          </w:tcPr>
          <w:p w14:paraId="081D7D3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6E59C71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053810A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658" w:type="pct"/>
            <w:tcBorders>
              <w:top w:val="nil"/>
              <w:left w:val="single" w:sz="4" w:space="0" w:color="auto"/>
              <w:bottom w:val="nil"/>
            </w:tcBorders>
          </w:tcPr>
          <w:p w14:paraId="52E3B93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-0.1080</w:t>
            </w:r>
            <w:r w:rsidRPr="00A310A1">
              <w:rPr>
                <w:rFonts w:ascii="Times New Roman" w:hAnsi="Times New Roman" w:cs="Times New Roman"/>
                <w:kern w:val="0"/>
                <w:sz w:val="18"/>
                <w:szCs w:val="18"/>
                <w:vertAlign w:val="superscript"/>
              </w:rPr>
              <w:t>***</w:t>
            </w:r>
          </w:p>
        </w:tc>
      </w:tr>
      <w:tr w:rsidR="00B14B62" w:rsidRPr="00A310A1" w14:paraId="7B067941" w14:textId="77777777" w:rsidTr="0076524C">
        <w:trPr>
          <w:jc w:val="center"/>
        </w:trPr>
        <w:tc>
          <w:tcPr>
            <w:tcW w:w="1096" w:type="pct"/>
            <w:vMerge/>
            <w:tcBorders>
              <w:left w:val="nil"/>
              <w:bottom w:val="nil"/>
              <w:right w:val="single" w:sz="4" w:space="0" w:color="auto"/>
            </w:tcBorders>
            <w:vAlign w:val="center"/>
          </w:tcPr>
          <w:p w14:paraId="36D0184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4" w:type="pct"/>
            <w:tcBorders>
              <w:top w:val="nil"/>
              <w:left w:val="single" w:sz="4" w:space="0" w:color="auto"/>
              <w:bottom w:val="nil"/>
              <w:right w:val="single" w:sz="4" w:space="0" w:color="auto"/>
            </w:tcBorders>
            <w:vAlign w:val="center"/>
          </w:tcPr>
          <w:p w14:paraId="683F95A8"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6A5D4DA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68" w:type="pct"/>
            <w:tcBorders>
              <w:top w:val="nil"/>
              <w:left w:val="single" w:sz="4" w:space="0" w:color="auto"/>
              <w:bottom w:val="nil"/>
              <w:right w:val="single" w:sz="4" w:space="0" w:color="auto"/>
            </w:tcBorders>
            <w:vAlign w:val="center"/>
          </w:tcPr>
          <w:p w14:paraId="18782682"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6" w:type="pct"/>
            <w:tcBorders>
              <w:top w:val="nil"/>
              <w:left w:val="single" w:sz="4" w:space="0" w:color="auto"/>
              <w:bottom w:val="nil"/>
              <w:right w:val="single" w:sz="4" w:space="0" w:color="auto"/>
            </w:tcBorders>
            <w:vAlign w:val="center"/>
          </w:tcPr>
          <w:p w14:paraId="5469F6D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00302127"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515" w:type="pct"/>
            <w:tcBorders>
              <w:top w:val="nil"/>
              <w:left w:val="single" w:sz="4" w:space="0" w:color="auto"/>
              <w:bottom w:val="nil"/>
              <w:right w:val="single" w:sz="4" w:space="0" w:color="auto"/>
            </w:tcBorders>
          </w:tcPr>
          <w:p w14:paraId="517496B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p>
        </w:tc>
        <w:tc>
          <w:tcPr>
            <w:tcW w:w="658" w:type="pct"/>
            <w:tcBorders>
              <w:top w:val="nil"/>
              <w:left w:val="single" w:sz="4" w:space="0" w:color="auto"/>
              <w:bottom w:val="nil"/>
            </w:tcBorders>
          </w:tcPr>
          <w:p w14:paraId="00C75B4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(-4.98)</w:t>
            </w:r>
          </w:p>
        </w:tc>
      </w:tr>
      <w:tr w:rsidR="00B14B62" w:rsidRPr="00A310A1" w14:paraId="293D3BC4" w14:textId="77777777" w:rsidTr="0076524C">
        <w:trPr>
          <w:jc w:val="center"/>
        </w:trPr>
        <w:tc>
          <w:tcPr>
            <w:tcW w:w="1096" w:type="pct"/>
            <w:tcBorders>
              <w:top w:val="nil"/>
              <w:left w:val="nil"/>
              <w:bottom w:val="nil"/>
              <w:right w:val="single" w:sz="4" w:space="0" w:color="auto"/>
            </w:tcBorders>
            <w:vAlign w:val="center"/>
          </w:tcPr>
          <w:p w14:paraId="42669C1D"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控制变量</w:t>
            </w:r>
          </w:p>
        </w:tc>
        <w:tc>
          <w:tcPr>
            <w:tcW w:w="564" w:type="pct"/>
            <w:tcBorders>
              <w:top w:val="nil"/>
              <w:left w:val="single" w:sz="4" w:space="0" w:color="auto"/>
              <w:bottom w:val="nil"/>
              <w:right w:val="single" w:sz="4" w:space="0" w:color="auto"/>
            </w:tcBorders>
            <w:vAlign w:val="center"/>
          </w:tcPr>
          <w:p w14:paraId="757FE052"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45CD972F"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7B2DC767"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6" w:type="pct"/>
            <w:tcBorders>
              <w:top w:val="nil"/>
              <w:left w:val="single" w:sz="4" w:space="0" w:color="auto"/>
              <w:bottom w:val="nil"/>
              <w:right w:val="single" w:sz="4" w:space="0" w:color="auto"/>
            </w:tcBorders>
            <w:vAlign w:val="center"/>
          </w:tcPr>
          <w:p w14:paraId="2647B8C0"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28875AD1"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6BB3DF30"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658" w:type="pct"/>
            <w:tcBorders>
              <w:top w:val="nil"/>
              <w:left w:val="single" w:sz="4" w:space="0" w:color="auto"/>
              <w:bottom w:val="nil"/>
            </w:tcBorders>
            <w:vAlign w:val="center"/>
          </w:tcPr>
          <w:p w14:paraId="6E86176A"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r>
      <w:tr w:rsidR="00B14B62" w:rsidRPr="00A310A1" w14:paraId="244756B8" w14:textId="77777777" w:rsidTr="0076524C">
        <w:trPr>
          <w:jc w:val="center"/>
        </w:trPr>
        <w:tc>
          <w:tcPr>
            <w:tcW w:w="1096" w:type="pct"/>
            <w:tcBorders>
              <w:top w:val="nil"/>
              <w:left w:val="nil"/>
              <w:bottom w:val="nil"/>
              <w:right w:val="single" w:sz="4" w:space="0" w:color="auto"/>
            </w:tcBorders>
            <w:vAlign w:val="center"/>
          </w:tcPr>
          <w:p w14:paraId="2D2A843A"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企业固定效应</w:t>
            </w:r>
          </w:p>
        </w:tc>
        <w:tc>
          <w:tcPr>
            <w:tcW w:w="564" w:type="pct"/>
            <w:tcBorders>
              <w:top w:val="nil"/>
              <w:left w:val="single" w:sz="4" w:space="0" w:color="auto"/>
              <w:bottom w:val="nil"/>
              <w:right w:val="single" w:sz="4" w:space="0" w:color="auto"/>
            </w:tcBorders>
            <w:vAlign w:val="center"/>
          </w:tcPr>
          <w:p w14:paraId="531F7D7C"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7A1DE4C5"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67DE5AE4"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6" w:type="pct"/>
            <w:tcBorders>
              <w:top w:val="nil"/>
              <w:left w:val="single" w:sz="4" w:space="0" w:color="auto"/>
              <w:bottom w:val="nil"/>
              <w:right w:val="single" w:sz="4" w:space="0" w:color="auto"/>
            </w:tcBorders>
            <w:vAlign w:val="center"/>
          </w:tcPr>
          <w:p w14:paraId="5851CA72"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54D06DA6"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5B0B6B45"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658" w:type="pct"/>
            <w:tcBorders>
              <w:top w:val="nil"/>
              <w:left w:val="single" w:sz="4" w:space="0" w:color="auto"/>
              <w:bottom w:val="nil"/>
            </w:tcBorders>
            <w:vAlign w:val="center"/>
          </w:tcPr>
          <w:p w14:paraId="601F1A78"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r>
      <w:tr w:rsidR="00B14B62" w:rsidRPr="00A310A1" w14:paraId="2D22E63B" w14:textId="77777777" w:rsidTr="0076524C">
        <w:trPr>
          <w:jc w:val="center"/>
        </w:trPr>
        <w:tc>
          <w:tcPr>
            <w:tcW w:w="1096" w:type="pct"/>
            <w:tcBorders>
              <w:top w:val="nil"/>
              <w:left w:val="nil"/>
              <w:bottom w:val="nil"/>
              <w:right w:val="single" w:sz="4" w:space="0" w:color="auto"/>
            </w:tcBorders>
            <w:vAlign w:val="center"/>
          </w:tcPr>
          <w:p w14:paraId="5FD6A49D"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年份固定效应</w:t>
            </w:r>
          </w:p>
        </w:tc>
        <w:tc>
          <w:tcPr>
            <w:tcW w:w="564" w:type="pct"/>
            <w:tcBorders>
              <w:top w:val="nil"/>
              <w:left w:val="single" w:sz="4" w:space="0" w:color="auto"/>
              <w:bottom w:val="nil"/>
              <w:right w:val="single" w:sz="4" w:space="0" w:color="auto"/>
            </w:tcBorders>
            <w:vAlign w:val="center"/>
          </w:tcPr>
          <w:p w14:paraId="4875F7B9"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70AD4221"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41CEE898"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6" w:type="pct"/>
            <w:tcBorders>
              <w:top w:val="nil"/>
              <w:left w:val="single" w:sz="4" w:space="0" w:color="auto"/>
              <w:bottom w:val="nil"/>
              <w:right w:val="single" w:sz="4" w:space="0" w:color="auto"/>
            </w:tcBorders>
            <w:vAlign w:val="center"/>
          </w:tcPr>
          <w:p w14:paraId="39BDEBC2"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460A3177"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15" w:type="pct"/>
            <w:tcBorders>
              <w:top w:val="nil"/>
              <w:left w:val="single" w:sz="4" w:space="0" w:color="auto"/>
              <w:bottom w:val="nil"/>
              <w:right w:val="single" w:sz="4" w:space="0" w:color="auto"/>
            </w:tcBorders>
            <w:vAlign w:val="center"/>
          </w:tcPr>
          <w:p w14:paraId="101880B8"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658" w:type="pct"/>
            <w:tcBorders>
              <w:top w:val="nil"/>
              <w:left w:val="single" w:sz="4" w:space="0" w:color="auto"/>
              <w:bottom w:val="nil"/>
            </w:tcBorders>
            <w:vAlign w:val="center"/>
          </w:tcPr>
          <w:p w14:paraId="170EC832"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r>
      <w:tr w:rsidR="00B14B62" w:rsidRPr="00A310A1" w14:paraId="0AA629A0" w14:textId="77777777" w:rsidTr="0076524C">
        <w:trPr>
          <w:jc w:val="center"/>
        </w:trPr>
        <w:tc>
          <w:tcPr>
            <w:tcW w:w="1096" w:type="pct"/>
            <w:tcBorders>
              <w:top w:val="nil"/>
              <w:left w:val="nil"/>
              <w:bottom w:val="nil"/>
              <w:right w:val="single" w:sz="4" w:space="0" w:color="auto"/>
            </w:tcBorders>
            <w:vAlign w:val="center"/>
          </w:tcPr>
          <w:p w14:paraId="2EE72486"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行业-年份固定效应</w:t>
            </w:r>
          </w:p>
        </w:tc>
        <w:tc>
          <w:tcPr>
            <w:tcW w:w="564" w:type="pct"/>
            <w:tcBorders>
              <w:top w:val="nil"/>
              <w:left w:val="single" w:sz="4" w:space="0" w:color="auto"/>
              <w:bottom w:val="nil"/>
              <w:right w:val="single" w:sz="4" w:space="0" w:color="auto"/>
            </w:tcBorders>
            <w:vAlign w:val="center"/>
          </w:tcPr>
          <w:p w14:paraId="74710045"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是</w:t>
            </w:r>
          </w:p>
        </w:tc>
        <w:tc>
          <w:tcPr>
            <w:tcW w:w="568" w:type="pct"/>
            <w:tcBorders>
              <w:top w:val="nil"/>
              <w:left w:val="single" w:sz="4" w:space="0" w:color="auto"/>
              <w:bottom w:val="nil"/>
              <w:right w:val="single" w:sz="4" w:space="0" w:color="auto"/>
            </w:tcBorders>
            <w:vAlign w:val="center"/>
          </w:tcPr>
          <w:p w14:paraId="2E243DDF"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c>
          <w:tcPr>
            <w:tcW w:w="568" w:type="pct"/>
            <w:tcBorders>
              <w:top w:val="nil"/>
              <w:left w:val="single" w:sz="4" w:space="0" w:color="auto"/>
              <w:bottom w:val="nil"/>
              <w:right w:val="single" w:sz="4" w:space="0" w:color="auto"/>
            </w:tcBorders>
            <w:vAlign w:val="center"/>
          </w:tcPr>
          <w:p w14:paraId="3F664F94"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c>
          <w:tcPr>
            <w:tcW w:w="516" w:type="pct"/>
            <w:tcBorders>
              <w:top w:val="nil"/>
              <w:left w:val="single" w:sz="4" w:space="0" w:color="auto"/>
              <w:bottom w:val="nil"/>
              <w:right w:val="single" w:sz="4" w:space="0" w:color="auto"/>
            </w:tcBorders>
            <w:vAlign w:val="center"/>
          </w:tcPr>
          <w:p w14:paraId="5307CA1D"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c>
          <w:tcPr>
            <w:tcW w:w="515" w:type="pct"/>
            <w:tcBorders>
              <w:top w:val="nil"/>
              <w:left w:val="single" w:sz="4" w:space="0" w:color="auto"/>
              <w:bottom w:val="nil"/>
              <w:right w:val="single" w:sz="4" w:space="0" w:color="auto"/>
            </w:tcBorders>
            <w:vAlign w:val="center"/>
          </w:tcPr>
          <w:p w14:paraId="6CE1A335"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c>
          <w:tcPr>
            <w:tcW w:w="515" w:type="pct"/>
            <w:tcBorders>
              <w:top w:val="nil"/>
              <w:left w:val="single" w:sz="4" w:space="0" w:color="auto"/>
              <w:bottom w:val="nil"/>
              <w:right w:val="single" w:sz="4" w:space="0" w:color="auto"/>
            </w:tcBorders>
            <w:vAlign w:val="center"/>
          </w:tcPr>
          <w:p w14:paraId="273F1EF1"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c>
          <w:tcPr>
            <w:tcW w:w="658" w:type="pct"/>
            <w:tcBorders>
              <w:top w:val="nil"/>
              <w:left w:val="single" w:sz="4" w:space="0" w:color="auto"/>
              <w:bottom w:val="nil"/>
            </w:tcBorders>
            <w:vAlign w:val="center"/>
          </w:tcPr>
          <w:p w14:paraId="3B92D29A" w14:textId="77777777" w:rsidR="00B14B62" w:rsidRPr="00A310A1" w:rsidRDefault="00B14B62" w:rsidP="00B14B62">
            <w:pPr>
              <w:autoSpaceDE w:val="0"/>
              <w:autoSpaceDN w:val="0"/>
              <w:adjustRightInd w:val="0"/>
              <w:spacing w:line="200" w:lineRule="exact"/>
              <w:ind w:firstLineChars="0" w:firstLine="0"/>
              <w:jc w:val="center"/>
              <w:rPr>
                <w:rFonts w:ascii="楷体" w:eastAsia="楷体" w:hAnsi="楷体" w:cs="Times New Roman" w:hint="eastAsia"/>
                <w:kern w:val="0"/>
                <w:sz w:val="18"/>
              </w:rPr>
            </w:pPr>
            <w:r w:rsidRPr="00A310A1">
              <w:rPr>
                <w:rFonts w:ascii="楷体" w:eastAsia="楷体" w:hAnsi="楷体" w:cs="Times New Roman" w:hint="eastAsia"/>
                <w:kern w:val="0"/>
                <w:sz w:val="18"/>
              </w:rPr>
              <w:t>否</w:t>
            </w:r>
          </w:p>
        </w:tc>
      </w:tr>
      <w:tr w:rsidR="00B14B62" w:rsidRPr="00A310A1" w14:paraId="1683F3F8" w14:textId="77777777" w:rsidTr="0076524C">
        <w:trPr>
          <w:jc w:val="center"/>
        </w:trPr>
        <w:tc>
          <w:tcPr>
            <w:tcW w:w="1096" w:type="pct"/>
            <w:tcBorders>
              <w:top w:val="nil"/>
              <w:left w:val="nil"/>
              <w:bottom w:val="nil"/>
              <w:right w:val="single" w:sz="4" w:space="0" w:color="auto"/>
            </w:tcBorders>
            <w:vAlign w:val="center"/>
          </w:tcPr>
          <w:p w14:paraId="2397A423"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i/>
                <w:iCs/>
                <w:kern w:val="0"/>
                <w:sz w:val="18"/>
              </w:rPr>
              <w:t>N</w:t>
            </w:r>
          </w:p>
        </w:tc>
        <w:tc>
          <w:tcPr>
            <w:tcW w:w="564" w:type="pct"/>
            <w:tcBorders>
              <w:top w:val="nil"/>
              <w:left w:val="single" w:sz="4" w:space="0" w:color="auto"/>
              <w:bottom w:val="nil"/>
              <w:right w:val="single" w:sz="4" w:space="0" w:color="auto"/>
            </w:tcBorders>
          </w:tcPr>
          <w:p w14:paraId="0B80915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8552</w:t>
            </w:r>
          </w:p>
        </w:tc>
        <w:tc>
          <w:tcPr>
            <w:tcW w:w="568" w:type="pct"/>
            <w:tcBorders>
              <w:top w:val="nil"/>
              <w:left w:val="single" w:sz="4" w:space="0" w:color="auto"/>
              <w:bottom w:val="nil"/>
              <w:right w:val="single" w:sz="4" w:space="0" w:color="auto"/>
            </w:tcBorders>
          </w:tcPr>
          <w:p w14:paraId="5E552434"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8709</w:t>
            </w:r>
          </w:p>
        </w:tc>
        <w:tc>
          <w:tcPr>
            <w:tcW w:w="568" w:type="pct"/>
            <w:tcBorders>
              <w:top w:val="nil"/>
              <w:left w:val="single" w:sz="4" w:space="0" w:color="auto"/>
              <w:bottom w:val="nil"/>
              <w:right w:val="single" w:sz="4" w:space="0" w:color="auto"/>
            </w:tcBorders>
          </w:tcPr>
          <w:p w14:paraId="035AB80F"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hint="eastAsia"/>
                <w:kern w:val="0"/>
                <w:sz w:val="18"/>
                <w:szCs w:val="18"/>
              </w:rPr>
              <w:t>6446</w:t>
            </w:r>
          </w:p>
        </w:tc>
        <w:tc>
          <w:tcPr>
            <w:tcW w:w="516" w:type="pct"/>
            <w:tcBorders>
              <w:top w:val="nil"/>
              <w:left w:val="single" w:sz="4" w:space="0" w:color="auto"/>
              <w:bottom w:val="nil"/>
              <w:right w:val="single" w:sz="4" w:space="0" w:color="auto"/>
            </w:tcBorders>
          </w:tcPr>
          <w:p w14:paraId="4A53D0C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5370</w:t>
            </w:r>
          </w:p>
        </w:tc>
        <w:tc>
          <w:tcPr>
            <w:tcW w:w="515" w:type="pct"/>
            <w:tcBorders>
              <w:top w:val="nil"/>
              <w:left w:val="single" w:sz="4" w:space="0" w:color="auto"/>
              <w:bottom w:val="nil"/>
              <w:right w:val="single" w:sz="4" w:space="0" w:color="auto"/>
            </w:tcBorders>
          </w:tcPr>
          <w:p w14:paraId="0C7CEDB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16336</w:t>
            </w:r>
          </w:p>
        </w:tc>
        <w:tc>
          <w:tcPr>
            <w:tcW w:w="515" w:type="pct"/>
            <w:tcBorders>
              <w:top w:val="nil"/>
              <w:left w:val="single" w:sz="4" w:space="0" w:color="auto"/>
              <w:bottom w:val="nil"/>
              <w:right w:val="single" w:sz="4" w:space="0" w:color="auto"/>
            </w:tcBorders>
          </w:tcPr>
          <w:p w14:paraId="2FB71D6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8217</w:t>
            </w:r>
          </w:p>
        </w:tc>
        <w:tc>
          <w:tcPr>
            <w:tcW w:w="658" w:type="pct"/>
            <w:tcBorders>
              <w:top w:val="nil"/>
              <w:left w:val="single" w:sz="4" w:space="0" w:color="auto"/>
              <w:bottom w:val="nil"/>
            </w:tcBorders>
          </w:tcPr>
          <w:p w14:paraId="1EF0CA0C"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8709</w:t>
            </w:r>
          </w:p>
        </w:tc>
      </w:tr>
      <w:tr w:rsidR="00B14B62" w:rsidRPr="00A310A1" w14:paraId="1B13F538" w14:textId="77777777" w:rsidTr="0076524C">
        <w:trPr>
          <w:jc w:val="center"/>
        </w:trPr>
        <w:tc>
          <w:tcPr>
            <w:tcW w:w="1096" w:type="pct"/>
            <w:tcBorders>
              <w:top w:val="nil"/>
              <w:left w:val="nil"/>
              <w:bottom w:val="single" w:sz="8" w:space="0" w:color="auto"/>
              <w:right w:val="single" w:sz="4" w:space="0" w:color="auto"/>
            </w:tcBorders>
            <w:vAlign w:val="center"/>
          </w:tcPr>
          <w:p w14:paraId="5F33411E"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eastAsia="宋体" w:hAnsi="Times New Roman" w:cs="Times New Roman"/>
                <w:kern w:val="0"/>
                <w:sz w:val="18"/>
              </w:rPr>
              <w:t xml:space="preserve">adj. </w:t>
            </w:r>
            <w:r w:rsidRPr="00A310A1">
              <w:rPr>
                <w:rFonts w:ascii="Times New Roman" w:eastAsia="宋体" w:hAnsi="Times New Roman" w:cs="Times New Roman"/>
                <w:i/>
                <w:iCs/>
                <w:kern w:val="0"/>
                <w:sz w:val="18"/>
              </w:rPr>
              <w:t>R</w:t>
            </w:r>
            <w:r w:rsidRPr="00A310A1">
              <w:rPr>
                <w:rFonts w:ascii="Times New Roman" w:eastAsia="宋体" w:hAnsi="Times New Roman" w:cs="Times New Roman"/>
                <w:kern w:val="0"/>
                <w:sz w:val="18"/>
                <w:vertAlign w:val="superscript"/>
              </w:rPr>
              <w:t>2</w:t>
            </w:r>
          </w:p>
        </w:tc>
        <w:tc>
          <w:tcPr>
            <w:tcW w:w="564" w:type="pct"/>
            <w:tcBorders>
              <w:top w:val="nil"/>
              <w:left w:val="single" w:sz="4" w:space="0" w:color="auto"/>
              <w:bottom w:val="single" w:sz="8" w:space="0" w:color="auto"/>
              <w:right w:val="single" w:sz="4" w:space="0" w:color="auto"/>
            </w:tcBorders>
          </w:tcPr>
          <w:p w14:paraId="4C55F570"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0.6443</w:t>
            </w:r>
          </w:p>
        </w:tc>
        <w:tc>
          <w:tcPr>
            <w:tcW w:w="568" w:type="pct"/>
            <w:tcBorders>
              <w:top w:val="nil"/>
              <w:left w:val="single" w:sz="4" w:space="0" w:color="auto"/>
              <w:bottom w:val="single" w:sz="8" w:space="0" w:color="auto"/>
              <w:right w:val="single" w:sz="4" w:space="0" w:color="auto"/>
            </w:tcBorders>
          </w:tcPr>
          <w:p w14:paraId="18B5A5DA"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0.6350</w:t>
            </w:r>
          </w:p>
        </w:tc>
        <w:tc>
          <w:tcPr>
            <w:tcW w:w="568" w:type="pct"/>
            <w:tcBorders>
              <w:top w:val="nil"/>
              <w:left w:val="single" w:sz="4" w:space="0" w:color="auto"/>
              <w:bottom w:val="single" w:sz="8" w:space="0" w:color="auto"/>
              <w:right w:val="single" w:sz="4" w:space="0" w:color="auto"/>
            </w:tcBorders>
          </w:tcPr>
          <w:p w14:paraId="0BA85FB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0.5102</w:t>
            </w:r>
          </w:p>
        </w:tc>
        <w:tc>
          <w:tcPr>
            <w:tcW w:w="516" w:type="pct"/>
            <w:tcBorders>
              <w:top w:val="nil"/>
              <w:left w:val="single" w:sz="4" w:space="0" w:color="auto"/>
              <w:bottom w:val="single" w:sz="8" w:space="0" w:color="auto"/>
              <w:right w:val="single" w:sz="4" w:space="0" w:color="auto"/>
            </w:tcBorders>
          </w:tcPr>
          <w:p w14:paraId="556C6F7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0.6130</w:t>
            </w:r>
          </w:p>
        </w:tc>
        <w:tc>
          <w:tcPr>
            <w:tcW w:w="515" w:type="pct"/>
            <w:tcBorders>
              <w:top w:val="nil"/>
              <w:left w:val="single" w:sz="4" w:space="0" w:color="auto"/>
              <w:bottom w:val="single" w:sz="8" w:space="0" w:color="auto"/>
              <w:right w:val="single" w:sz="4" w:space="0" w:color="auto"/>
            </w:tcBorders>
          </w:tcPr>
          <w:p w14:paraId="3BFD9B86"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szCs w:val="18"/>
              </w:rPr>
            </w:pPr>
            <w:r w:rsidRPr="00A310A1">
              <w:rPr>
                <w:rFonts w:ascii="Times New Roman" w:hAnsi="Times New Roman" w:cs="Times New Roman"/>
                <w:kern w:val="0"/>
                <w:sz w:val="18"/>
                <w:szCs w:val="18"/>
              </w:rPr>
              <w:t>0.6075</w:t>
            </w:r>
          </w:p>
        </w:tc>
        <w:tc>
          <w:tcPr>
            <w:tcW w:w="515" w:type="pct"/>
            <w:tcBorders>
              <w:top w:val="nil"/>
              <w:left w:val="single" w:sz="4" w:space="0" w:color="auto"/>
              <w:bottom w:val="single" w:sz="8" w:space="0" w:color="auto"/>
              <w:right w:val="single" w:sz="4" w:space="0" w:color="auto"/>
            </w:tcBorders>
          </w:tcPr>
          <w:p w14:paraId="0B44355B"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0.6385</w:t>
            </w:r>
          </w:p>
        </w:tc>
        <w:tc>
          <w:tcPr>
            <w:tcW w:w="658" w:type="pct"/>
            <w:tcBorders>
              <w:top w:val="nil"/>
              <w:left w:val="single" w:sz="4" w:space="0" w:color="auto"/>
              <w:bottom w:val="single" w:sz="8" w:space="0" w:color="auto"/>
            </w:tcBorders>
          </w:tcPr>
          <w:p w14:paraId="52BF9715" w14:textId="77777777" w:rsidR="00B14B62" w:rsidRPr="00A310A1" w:rsidRDefault="00B14B62" w:rsidP="00B14B62">
            <w:pPr>
              <w:autoSpaceDE w:val="0"/>
              <w:autoSpaceDN w:val="0"/>
              <w:adjustRightInd w:val="0"/>
              <w:spacing w:line="200" w:lineRule="exact"/>
              <w:ind w:firstLineChars="0" w:firstLine="0"/>
              <w:jc w:val="center"/>
              <w:rPr>
                <w:rFonts w:ascii="Times New Roman" w:eastAsia="宋体" w:hAnsi="Times New Roman" w:cs="Times New Roman"/>
                <w:kern w:val="0"/>
                <w:sz w:val="18"/>
              </w:rPr>
            </w:pPr>
            <w:r w:rsidRPr="00A310A1">
              <w:rPr>
                <w:rFonts w:ascii="Times New Roman" w:hAnsi="Times New Roman" w:cs="Times New Roman"/>
                <w:kern w:val="0"/>
                <w:sz w:val="18"/>
                <w:szCs w:val="18"/>
              </w:rPr>
              <w:t>0.6374</w:t>
            </w:r>
          </w:p>
        </w:tc>
      </w:tr>
    </w:tbl>
    <w:p w14:paraId="7F8DEB35" w14:textId="6490AAE4" w:rsidR="00B14B62" w:rsidRPr="00A310A1" w:rsidRDefault="00B14B62" w:rsidP="00B14B62">
      <w:pPr>
        <w:ind w:firstLine="360"/>
        <w:rPr>
          <w:rFonts w:ascii="Times New Roman" w:eastAsia="宋体" w:hAnsi="Times New Roman"/>
          <w:sz w:val="18"/>
          <w:szCs w:val="18"/>
        </w:rPr>
      </w:pPr>
      <w:r w:rsidRPr="00A310A1">
        <w:rPr>
          <w:rFonts w:ascii="黑体" w:eastAsia="黑体" w:hAnsi="黑体" w:cs="Times New Roman"/>
          <w:sz w:val="18"/>
          <w:szCs w:val="18"/>
        </w:rPr>
        <w:t>注：</w:t>
      </w:r>
      <w:r w:rsidRPr="00A310A1">
        <w:rPr>
          <w:rFonts w:ascii="Times New Roman" w:eastAsia="楷体" w:hAnsi="Times New Roman" w:cs="Times New Roman"/>
          <w:kern w:val="0"/>
          <w:sz w:val="18"/>
          <w:szCs w:val="18"/>
        </w:rPr>
        <w:t>括号内是系数的</w:t>
      </w:r>
      <w:r w:rsidRPr="00A310A1">
        <w:rPr>
          <w:rFonts w:ascii="Times New Roman" w:eastAsia="楷体" w:hAnsi="Times New Roman" w:cs="Times New Roman"/>
          <w:kern w:val="0"/>
          <w:sz w:val="18"/>
          <w:szCs w:val="18"/>
        </w:rPr>
        <w:t>t</w:t>
      </w:r>
      <w:r w:rsidRPr="00A310A1">
        <w:rPr>
          <w:rFonts w:ascii="Times New Roman" w:eastAsia="楷体" w:hAnsi="Times New Roman" w:cs="Times New Roman"/>
          <w:kern w:val="0"/>
          <w:sz w:val="18"/>
          <w:szCs w:val="18"/>
        </w:rPr>
        <w:t>值，</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分别表示</w:t>
      </w:r>
      <w:r w:rsidRPr="00A310A1">
        <w:rPr>
          <w:rFonts w:ascii="Times New Roman" w:eastAsia="楷体" w:hAnsi="Times New Roman" w:cs="Times New Roman"/>
          <w:kern w:val="0"/>
          <w:sz w:val="18"/>
          <w:szCs w:val="18"/>
        </w:rPr>
        <w:t>10%</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5%</w:t>
      </w:r>
      <w:r w:rsidRPr="00A310A1">
        <w:rPr>
          <w:rFonts w:ascii="Times New Roman" w:eastAsia="楷体" w:hAnsi="Times New Roman" w:cs="Times New Roman"/>
          <w:kern w:val="0"/>
          <w:sz w:val="18"/>
          <w:szCs w:val="18"/>
        </w:rPr>
        <w:t>、</w:t>
      </w:r>
      <w:r w:rsidRPr="00A310A1">
        <w:rPr>
          <w:rFonts w:ascii="Times New Roman" w:eastAsia="楷体" w:hAnsi="Times New Roman" w:cs="Times New Roman"/>
          <w:kern w:val="0"/>
          <w:sz w:val="18"/>
          <w:szCs w:val="18"/>
        </w:rPr>
        <w:t>1%</w:t>
      </w:r>
      <w:r w:rsidRPr="00A310A1">
        <w:rPr>
          <w:rFonts w:ascii="Times New Roman" w:eastAsia="楷体" w:hAnsi="Times New Roman" w:cs="Times New Roman"/>
          <w:kern w:val="0"/>
          <w:sz w:val="18"/>
          <w:szCs w:val="18"/>
        </w:rPr>
        <w:t>的显著性水平上显著；</w:t>
      </w:r>
      <w:r w:rsidR="00B21475">
        <w:rPr>
          <w:rFonts w:ascii="Times New Roman" w:eastAsia="楷体" w:hAnsi="Times New Roman" w:cs="Times New Roman" w:hint="eastAsia"/>
          <w:kern w:val="0"/>
          <w:sz w:val="18"/>
          <w:szCs w:val="18"/>
        </w:rPr>
        <w:t>列（</w:t>
      </w:r>
      <w:r w:rsidR="00B21475">
        <w:rPr>
          <w:rFonts w:ascii="Times New Roman" w:eastAsia="楷体" w:hAnsi="Times New Roman" w:cs="Times New Roman" w:hint="eastAsia"/>
          <w:kern w:val="0"/>
          <w:sz w:val="18"/>
          <w:szCs w:val="18"/>
        </w:rPr>
        <w:t>2</w:t>
      </w:r>
      <w:r w:rsidR="00B21475">
        <w:rPr>
          <w:rFonts w:ascii="Times New Roman" w:eastAsia="楷体" w:hAnsi="Times New Roman" w:cs="Times New Roman" w:hint="eastAsia"/>
          <w:kern w:val="0"/>
          <w:sz w:val="18"/>
          <w:szCs w:val="18"/>
        </w:rPr>
        <w:t>）</w:t>
      </w:r>
      <w:r w:rsidRPr="00A310A1">
        <w:rPr>
          <w:rFonts w:ascii="Times New Roman" w:eastAsia="楷体" w:hAnsi="Times New Roman" w:cs="Times New Roman"/>
          <w:kern w:val="0"/>
          <w:sz w:val="18"/>
          <w:szCs w:val="18"/>
        </w:rPr>
        <w:t>回归系数的标准误</w:t>
      </w:r>
      <w:r w:rsidR="00B21475">
        <w:rPr>
          <w:rFonts w:ascii="Times New Roman" w:eastAsia="楷体" w:hAnsi="Times New Roman" w:cs="Times New Roman" w:hint="eastAsia"/>
          <w:kern w:val="0"/>
          <w:sz w:val="18"/>
          <w:szCs w:val="18"/>
        </w:rPr>
        <w:t>聚类到地区层面，其余</w:t>
      </w:r>
      <w:r w:rsidRPr="00A310A1">
        <w:rPr>
          <w:rFonts w:ascii="Times New Roman" w:eastAsia="楷体" w:hAnsi="Times New Roman" w:cs="Times New Roman"/>
          <w:kern w:val="0"/>
          <w:sz w:val="18"/>
          <w:szCs w:val="18"/>
        </w:rPr>
        <w:t>均聚类到企业层面</w:t>
      </w:r>
      <w:r w:rsidRPr="00A310A1">
        <w:rPr>
          <w:rFonts w:ascii="Times New Roman" w:eastAsia="楷体" w:hAnsi="Times New Roman" w:cs="Times New Roman" w:hint="eastAsia"/>
          <w:sz w:val="18"/>
          <w:szCs w:val="18"/>
        </w:rPr>
        <w:t>。</w:t>
      </w:r>
    </w:p>
    <w:p w14:paraId="73C3277B" w14:textId="56A27615" w:rsidR="00B14B62" w:rsidRPr="00125CB2" w:rsidRDefault="00125CB2" w:rsidP="00393579">
      <w:pPr>
        <w:spacing w:beforeLines="50" w:before="156"/>
        <w:ind w:firstLine="420"/>
        <w:rPr>
          <w:rFonts w:ascii="黑体" w:eastAsia="黑体" w:hAnsi="黑体" w:hint="eastAsia"/>
          <w:sz w:val="21"/>
          <w:szCs w:val="21"/>
        </w:rPr>
      </w:pPr>
      <w:r>
        <w:rPr>
          <w:rFonts w:ascii="黑体" w:eastAsia="黑体" w:hAnsi="黑体" w:hint="eastAsia"/>
          <w:sz w:val="21"/>
          <w:szCs w:val="21"/>
        </w:rPr>
        <w:t>（四）</w:t>
      </w:r>
      <w:r w:rsidR="00B14B62" w:rsidRPr="00125CB2">
        <w:rPr>
          <w:rFonts w:ascii="黑体" w:eastAsia="黑体" w:hAnsi="黑体" w:hint="eastAsia"/>
          <w:sz w:val="21"/>
          <w:szCs w:val="21"/>
        </w:rPr>
        <w:t>信息透明度指标的测度方法</w:t>
      </w:r>
    </w:p>
    <w:p w14:paraId="5F7ED69C" w14:textId="5ED81D99" w:rsidR="0083312F" w:rsidRPr="0083312F" w:rsidRDefault="0083312F" w:rsidP="00CC7211">
      <w:pPr>
        <w:ind w:firstLine="420"/>
        <w:rPr>
          <w:rFonts w:ascii="Times New Roman" w:eastAsia="宋体" w:hAnsi="Times New Roman"/>
          <w:snapToGrid w:val="0"/>
          <w:sz w:val="21"/>
          <w:szCs w:val="21"/>
        </w:rPr>
      </w:pPr>
      <w:r w:rsidRPr="0083312F">
        <w:rPr>
          <w:rFonts w:ascii="Times New Roman" w:eastAsia="宋体" w:hAnsi="Times New Roman"/>
          <w:snapToGrid w:val="0"/>
          <w:sz w:val="21"/>
          <w:szCs w:val="21"/>
        </w:rPr>
        <w:t>本文参考辛清泉等（</w:t>
      </w:r>
      <w:r w:rsidRPr="0083312F">
        <w:rPr>
          <w:rFonts w:ascii="Times New Roman" w:eastAsia="宋体" w:hAnsi="Times New Roman"/>
          <w:snapToGrid w:val="0"/>
          <w:sz w:val="21"/>
          <w:szCs w:val="21"/>
        </w:rPr>
        <w:t>2014</w:t>
      </w:r>
      <w:r w:rsidRPr="0083312F">
        <w:rPr>
          <w:rFonts w:ascii="Times New Roman" w:eastAsia="宋体" w:hAnsi="Times New Roman"/>
          <w:snapToGrid w:val="0"/>
          <w:sz w:val="21"/>
          <w:szCs w:val="21"/>
        </w:rPr>
        <w:t>）的研究方法，从盈余质量、信息披露考评指数、分析师盈余预测以及是否聘请国际四大会计师事务所审计四个维度构建企业信息透明度综合指标。具体而言，首先，本文基于修正后的</w:t>
      </w:r>
      <w:r w:rsidRPr="0083312F">
        <w:rPr>
          <w:rFonts w:ascii="Times New Roman" w:eastAsia="宋体" w:hAnsi="Times New Roman"/>
          <w:snapToGrid w:val="0"/>
          <w:sz w:val="21"/>
          <w:szCs w:val="21"/>
        </w:rPr>
        <w:t>Dechow</w:t>
      </w:r>
      <w:r w:rsidRPr="0083312F">
        <w:rPr>
          <w:rFonts w:ascii="Times New Roman" w:eastAsia="宋体" w:hAnsi="Times New Roman"/>
          <w:snapToGrid w:val="0"/>
          <w:sz w:val="21"/>
          <w:szCs w:val="21"/>
        </w:rPr>
        <w:t>和</w:t>
      </w:r>
      <w:proofErr w:type="spellStart"/>
      <w:r w:rsidRPr="0083312F">
        <w:rPr>
          <w:rFonts w:ascii="Times New Roman" w:eastAsia="宋体" w:hAnsi="Times New Roman"/>
          <w:snapToGrid w:val="0"/>
          <w:sz w:val="21"/>
          <w:szCs w:val="21"/>
        </w:rPr>
        <w:t>Dichev</w:t>
      </w:r>
      <w:proofErr w:type="spellEnd"/>
      <w:r w:rsidRPr="0083312F">
        <w:rPr>
          <w:rFonts w:ascii="Times New Roman" w:eastAsia="宋体" w:hAnsi="Times New Roman"/>
          <w:snapToGrid w:val="0"/>
          <w:sz w:val="21"/>
          <w:szCs w:val="21"/>
        </w:rPr>
        <w:t>（</w:t>
      </w:r>
      <w:r w:rsidRPr="0083312F">
        <w:rPr>
          <w:rFonts w:ascii="Times New Roman" w:eastAsia="宋体" w:hAnsi="Times New Roman"/>
          <w:snapToGrid w:val="0"/>
          <w:sz w:val="21"/>
          <w:szCs w:val="21"/>
        </w:rPr>
        <w:t>2002</w:t>
      </w:r>
      <w:r w:rsidRPr="0083312F">
        <w:rPr>
          <w:rFonts w:ascii="Times New Roman" w:eastAsia="宋体" w:hAnsi="Times New Roman"/>
          <w:snapToGrid w:val="0"/>
          <w:sz w:val="21"/>
          <w:szCs w:val="21"/>
        </w:rPr>
        <w:t>）模型，通过模型回归残差衡量企业盈余质量；其次，采用</w:t>
      </w:r>
      <w:r>
        <w:rPr>
          <w:rFonts w:ascii="Times New Roman" w:eastAsia="宋体" w:hAnsi="Times New Roman" w:hint="eastAsia"/>
          <w:snapToGrid w:val="0"/>
          <w:sz w:val="21"/>
          <w:szCs w:val="21"/>
        </w:rPr>
        <w:t>深交所</w:t>
      </w:r>
      <w:r w:rsidRPr="0083312F">
        <w:rPr>
          <w:rFonts w:ascii="Times New Roman" w:eastAsia="宋体" w:hAnsi="Times New Roman"/>
          <w:snapToGrid w:val="0"/>
          <w:sz w:val="21"/>
          <w:szCs w:val="21"/>
        </w:rPr>
        <w:t>发布的信息披露考评指数作为企业信息披露质量的衡量指标，该指数数值越高，表明企业信息披露质量越好；再次，参考</w:t>
      </w:r>
      <w:r w:rsidRPr="0083312F">
        <w:rPr>
          <w:rFonts w:ascii="Times New Roman" w:eastAsia="宋体" w:hAnsi="Times New Roman"/>
          <w:snapToGrid w:val="0"/>
          <w:sz w:val="21"/>
          <w:szCs w:val="21"/>
        </w:rPr>
        <w:t>Lang</w:t>
      </w:r>
      <w:r w:rsidRPr="0083312F">
        <w:rPr>
          <w:rFonts w:ascii="Times New Roman" w:eastAsia="宋体" w:hAnsi="Times New Roman"/>
          <w:snapToGrid w:val="0"/>
          <w:sz w:val="21"/>
          <w:szCs w:val="21"/>
        </w:rPr>
        <w:t>等（</w:t>
      </w:r>
      <w:r w:rsidRPr="0083312F">
        <w:rPr>
          <w:rFonts w:ascii="Times New Roman" w:eastAsia="宋体" w:hAnsi="Times New Roman"/>
          <w:snapToGrid w:val="0"/>
          <w:sz w:val="21"/>
          <w:szCs w:val="21"/>
        </w:rPr>
        <w:t>2012</w:t>
      </w:r>
      <w:r w:rsidRPr="0083312F">
        <w:rPr>
          <w:rFonts w:ascii="Times New Roman" w:eastAsia="宋体" w:hAnsi="Times New Roman"/>
          <w:snapToGrid w:val="0"/>
          <w:sz w:val="21"/>
          <w:szCs w:val="21"/>
        </w:rPr>
        <w:t>）的研究，引入分析师跟踪人数和分析师盈余预测准确度两个指标衡量企业外部信息环境，分析师跟踪人数越多、盈余预测准确度越高，表明企业信息透明度越高；最后，考虑到国际四大会计师事务所在审计质量和声誉约束等方面具有相对优势，本文以企业当年是否聘请国际四大会计师事务所进行审计作为衡量企业信息透明度的另一维度。最终，本文对上述四个维度指标进行标准化处理，并取其均值构建企业信息透明度综合指标。</w:t>
      </w:r>
    </w:p>
    <w:p w14:paraId="66F9D5DC" w14:textId="77777777" w:rsidR="00164F37" w:rsidRDefault="00164F37" w:rsidP="00B14B62">
      <w:pPr>
        <w:ind w:firstLineChars="0" w:firstLine="0"/>
        <w:rPr>
          <w:rFonts w:hint="eastAsia"/>
        </w:rPr>
      </w:pPr>
    </w:p>
    <w:p w14:paraId="7C43FAC0" w14:textId="712EB899" w:rsidR="00164F37" w:rsidRPr="00FC2A3A" w:rsidRDefault="00164F37" w:rsidP="00FC2A3A">
      <w:pPr>
        <w:ind w:firstLineChars="0" w:firstLine="0"/>
        <w:rPr>
          <w:rFonts w:ascii="黑体" w:eastAsia="黑体" w:hAnsi="黑体" w:hint="eastAsia"/>
          <w:sz w:val="21"/>
          <w:szCs w:val="21"/>
        </w:rPr>
      </w:pPr>
      <w:r w:rsidRPr="00FC2A3A">
        <w:rPr>
          <w:rFonts w:ascii="黑体" w:eastAsia="黑体" w:hAnsi="黑体" w:hint="eastAsia"/>
          <w:sz w:val="21"/>
          <w:szCs w:val="21"/>
        </w:rPr>
        <w:t>参考文献：</w:t>
      </w:r>
    </w:p>
    <w:p w14:paraId="1DAEA064"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陈雯、范茵子，</w:t>
      </w:r>
      <w:r w:rsidRPr="00EF2484">
        <w:rPr>
          <w:rFonts w:ascii="Times New Roman" w:eastAsia="宋体" w:hAnsi="Times New Roman"/>
          <w:sz w:val="18"/>
          <w:szCs w:val="18"/>
        </w:rPr>
        <w:t>2024</w:t>
      </w:r>
      <w:r w:rsidRPr="00EF2484">
        <w:rPr>
          <w:rFonts w:ascii="Times New Roman" w:eastAsia="宋体" w:hAnsi="Times New Roman"/>
          <w:sz w:val="18"/>
          <w:szCs w:val="18"/>
        </w:rPr>
        <w:t>：《企业供应链风险感知与合作关系稳定性》，《管理世界》第</w:t>
      </w:r>
      <w:r w:rsidRPr="00EF2484">
        <w:rPr>
          <w:rFonts w:ascii="Times New Roman" w:eastAsia="宋体" w:hAnsi="Times New Roman"/>
          <w:sz w:val="18"/>
          <w:szCs w:val="18"/>
        </w:rPr>
        <w:t>11</w:t>
      </w:r>
      <w:r w:rsidRPr="00EF2484">
        <w:rPr>
          <w:rFonts w:ascii="Times New Roman" w:eastAsia="宋体" w:hAnsi="Times New Roman"/>
          <w:sz w:val="18"/>
          <w:szCs w:val="18"/>
        </w:rPr>
        <w:t>期。</w:t>
      </w:r>
    </w:p>
    <w:p w14:paraId="4F4BDECA"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方明月、聂辉华、阮睿、沈昕毅，</w:t>
      </w:r>
      <w:r w:rsidRPr="00EF2484">
        <w:rPr>
          <w:rFonts w:ascii="Times New Roman" w:eastAsia="宋体" w:hAnsi="Times New Roman"/>
          <w:sz w:val="18"/>
          <w:szCs w:val="18"/>
        </w:rPr>
        <w:t>2023</w:t>
      </w:r>
      <w:r w:rsidRPr="00EF2484">
        <w:rPr>
          <w:rFonts w:ascii="Times New Roman" w:eastAsia="宋体" w:hAnsi="Times New Roman"/>
          <w:sz w:val="18"/>
          <w:szCs w:val="18"/>
        </w:rPr>
        <w:t>：《企业数字化转型与经济政策不确定性感知》，《金融研究》第</w:t>
      </w:r>
      <w:r w:rsidRPr="00EF2484">
        <w:rPr>
          <w:rFonts w:ascii="Times New Roman" w:eastAsia="宋体" w:hAnsi="Times New Roman"/>
          <w:sz w:val="18"/>
          <w:szCs w:val="18"/>
        </w:rPr>
        <w:t>2</w:t>
      </w:r>
      <w:r w:rsidRPr="00EF2484">
        <w:rPr>
          <w:rFonts w:ascii="Times New Roman" w:eastAsia="宋体" w:hAnsi="Times New Roman"/>
          <w:sz w:val="18"/>
          <w:szCs w:val="18"/>
        </w:rPr>
        <w:t>期。</w:t>
      </w:r>
    </w:p>
    <w:p w14:paraId="2CAEC9A5"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hint="eastAsia"/>
          <w:sz w:val="18"/>
          <w:szCs w:val="18"/>
        </w:rPr>
        <w:t>洪金明、袁一辰、江红，</w:t>
      </w:r>
      <w:r w:rsidRPr="00EF2484">
        <w:rPr>
          <w:rFonts w:ascii="Times New Roman" w:eastAsia="宋体" w:hAnsi="Times New Roman" w:hint="eastAsia"/>
          <w:sz w:val="18"/>
          <w:szCs w:val="18"/>
        </w:rPr>
        <w:t>2024</w:t>
      </w:r>
      <w:r w:rsidRPr="00EF2484">
        <w:rPr>
          <w:rFonts w:ascii="Times New Roman" w:eastAsia="宋体" w:hAnsi="Times New Roman" w:hint="eastAsia"/>
          <w:sz w:val="18"/>
          <w:szCs w:val="18"/>
        </w:rPr>
        <w:t>：《金融监管与商业信用供给——基于资管新规的准自然实验》，《中南财经政法大学学报》第</w:t>
      </w:r>
      <w:r w:rsidRPr="00EF2484">
        <w:rPr>
          <w:rFonts w:ascii="Times New Roman" w:eastAsia="宋体" w:hAnsi="Times New Roman" w:hint="eastAsia"/>
          <w:sz w:val="18"/>
          <w:szCs w:val="18"/>
        </w:rPr>
        <w:t>4</w:t>
      </w:r>
      <w:r w:rsidRPr="00EF2484">
        <w:rPr>
          <w:rFonts w:ascii="Times New Roman" w:eastAsia="宋体" w:hAnsi="Times New Roman" w:hint="eastAsia"/>
          <w:sz w:val="18"/>
          <w:szCs w:val="18"/>
        </w:rPr>
        <w:t>期。</w:t>
      </w:r>
    </w:p>
    <w:p w14:paraId="487A85C0"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hint="eastAsia"/>
          <w:sz w:val="18"/>
          <w:szCs w:val="18"/>
        </w:rPr>
        <w:t>李青原、陈世来、陈昊，</w:t>
      </w:r>
      <w:r w:rsidRPr="00EF2484">
        <w:rPr>
          <w:rFonts w:ascii="Times New Roman" w:eastAsia="宋体" w:hAnsi="Times New Roman" w:hint="eastAsia"/>
          <w:sz w:val="18"/>
          <w:szCs w:val="18"/>
        </w:rPr>
        <w:t>2022</w:t>
      </w:r>
      <w:r w:rsidRPr="00EF2484">
        <w:rPr>
          <w:rFonts w:ascii="Times New Roman" w:eastAsia="宋体" w:hAnsi="Times New Roman" w:hint="eastAsia"/>
          <w:sz w:val="18"/>
          <w:szCs w:val="18"/>
        </w:rPr>
        <w:t>：《金融强监管的实体经济效应</w:t>
      </w:r>
      <w:r w:rsidRPr="00EF2484">
        <w:rPr>
          <w:rFonts w:ascii="Times New Roman" w:eastAsia="宋体" w:hAnsi="Times New Roman"/>
          <w:sz w:val="18"/>
          <w:szCs w:val="18"/>
        </w:rPr>
        <w:t>——</w:t>
      </w:r>
      <w:r w:rsidRPr="00EF2484">
        <w:rPr>
          <w:rFonts w:ascii="Times New Roman" w:eastAsia="宋体" w:hAnsi="Times New Roman" w:hint="eastAsia"/>
          <w:sz w:val="18"/>
          <w:szCs w:val="18"/>
        </w:rPr>
        <w:t>来自资管新规的经验证据》，《经济研究》第</w:t>
      </w:r>
      <w:r w:rsidRPr="00EF2484">
        <w:rPr>
          <w:rFonts w:ascii="Times New Roman" w:eastAsia="宋体" w:hAnsi="Times New Roman" w:hint="eastAsia"/>
          <w:sz w:val="18"/>
          <w:szCs w:val="18"/>
        </w:rPr>
        <w:t>1</w:t>
      </w:r>
      <w:r w:rsidRPr="00EF2484">
        <w:rPr>
          <w:rFonts w:ascii="Times New Roman" w:eastAsia="宋体" w:hAnsi="Times New Roman" w:hint="eastAsia"/>
          <w:sz w:val="18"/>
          <w:szCs w:val="18"/>
        </w:rPr>
        <w:t>期。</w:t>
      </w:r>
    </w:p>
    <w:p w14:paraId="1F69E32E"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孟庆玺</w:t>
      </w:r>
      <w:r w:rsidRPr="00EF2484">
        <w:rPr>
          <w:rFonts w:ascii="Times New Roman" w:eastAsia="宋体" w:hAnsi="Times New Roman" w:hint="eastAsia"/>
          <w:sz w:val="18"/>
          <w:szCs w:val="18"/>
        </w:rPr>
        <w:t>、</w:t>
      </w:r>
      <w:r w:rsidRPr="00EF2484">
        <w:rPr>
          <w:rFonts w:ascii="Times New Roman" w:eastAsia="宋体" w:hAnsi="Times New Roman"/>
          <w:sz w:val="18"/>
          <w:szCs w:val="18"/>
        </w:rPr>
        <w:t>白俊</w:t>
      </w:r>
      <w:r w:rsidRPr="00EF2484">
        <w:rPr>
          <w:rFonts w:ascii="Times New Roman" w:eastAsia="宋体" w:hAnsi="Times New Roman" w:hint="eastAsia"/>
          <w:sz w:val="18"/>
          <w:szCs w:val="18"/>
        </w:rPr>
        <w:t>、</w:t>
      </w:r>
      <w:r w:rsidRPr="00EF2484">
        <w:rPr>
          <w:rFonts w:ascii="Times New Roman" w:eastAsia="宋体" w:hAnsi="Times New Roman"/>
          <w:sz w:val="18"/>
          <w:szCs w:val="18"/>
        </w:rPr>
        <w:t>施文</w:t>
      </w:r>
      <w:r w:rsidRPr="00EF2484">
        <w:rPr>
          <w:rFonts w:ascii="Times New Roman" w:eastAsia="宋体" w:hAnsi="Times New Roman" w:hint="eastAsia"/>
          <w:sz w:val="18"/>
          <w:szCs w:val="18"/>
        </w:rPr>
        <w:t>，</w:t>
      </w:r>
      <w:r w:rsidRPr="00EF2484">
        <w:rPr>
          <w:rFonts w:ascii="Times New Roman" w:eastAsia="宋体" w:hAnsi="Times New Roman" w:hint="eastAsia"/>
          <w:sz w:val="18"/>
          <w:szCs w:val="18"/>
        </w:rPr>
        <w:t>2018</w:t>
      </w:r>
      <w:r w:rsidRPr="00EF2484">
        <w:rPr>
          <w:rFonts w:ascii="Times New Roman" w:eastAsia="宋体" w:hAnsi="Times New Roman" w:hint="eastAsia"/>
          <w:sz w:val="18"/>
          <w:szCs w:val="18"/>
        </w:rPr>
        <w:t>：《</w:t>
      </w:r>
      <w:r w:rsidRPr="00EF2484">
        <w:rPr>
          <w:rFonts w:ascii="Times New Roman" w:eastAsia="宋体" w:hAnsi="Times New Roman"/>
          <w:sz w:val="18"/>
          <w:szCs w:val="18"/>
        </w:rPr>
        <w:t>客户集中度与企业技术创新</w:t>
      </w:r>
      <w:r w:rsidRPr="00EF2484">
        <w:rPr>
          <w:rFonts w:ascii="Times New Roman" w:eastAsia="宋体" w:hAnsi="Times New Roman"/>
          <w:sz w:val="18"/>
          <w:szCs w:val="18"/>
        </w:rPr>
        <w:t>:</w:t>
      </w:r>
      <w:r w:rsidRPr="00EF2484">
        <w:rPr>
          <w:rFonts w:ascii="Times New Roman" w:eastAsia="宋体" w:hAnsi="Times New Roman"/>
          <w:sz w:val="18"/>
          <w:szCs w:val="18"/>
        </w:rPr>
        <w:t>助力抑或阻碍</w:t>
      </w:r>
      <w:r w:rsidRPr="00EF2484">
        <w:rPr>
          <w:rFonts w:ascii="Times New Roman" w:eastAsia="宋体" w:hAnsi="Times New Roman"/>
          <w:sz w:val="18"/>
          <w:szCs w:val="18"/>
        </w:rPr>
        <w:t>——</w:t>
      </w:r>
      <w:r w:rsidRPr="00EF2484">
        <w:rPr>
          <w:rFonts w:ascii="Times New Roman" w:eastAsia="宋体" w:hAnsi="Times New Roman"/>
          <w:sz w:val="18"/>
          <w:szCs w:val="18"/>
        </w:rPr>
        <w:t>基于客户个体特征的研究</w:t>
      </w:r>
      <w:r w:rsidRPr="00EF2484">
        <w:rPr>
          <w:rFonts w:ascii="Times New Roman" w:eastAsia="宋体" w:hAnsi="Times New Roman" w:hint="eastAsia"/>
          <w:sz w:val="18"/>
          <w:szCs w:val="18"/>
        </w:rPr>
        <w:t>》，《</w:t>
      </w:r>
      <w:r w:rsidRPr="00EF2484">
        <w:rPr>
          <w:rFonts w:ascii="Times New Roman" w:eastAsia="宋体" w:hAnsi="Times New Roman"/>
          <w:sz w:val="18"/>
          <w:szCs w:val="18"/>
        </w:rPr>
        <w:t>南开管理评论</w:t>
      </w:r>
      <w:r w:rsidRPr="00EF2484">
        <w:rPr>
          <w:rFonts w:ascii="Times New Roman" w:eastAsia="宋体" w:hAnsi="Times New Roman" w:hint="eastAsia"/>
          <w:sz w:val="18"/>
          <w:szCs w:val="18"/>
        </w:rPr>
        <w:t>》第</w:t>
      </w:r>
      <w:r w:rsidRPr="00EF2484">
        <w:rPr>
          <w:rFonts w:ascii="Times New Roman" w:eastAsia="宋体" w:hAnsi="Times New Roman" w:hint="eastAsia"/>
          <w:sz w:val="18"/>
          <w:szCs w:val="18"/>
        </w:rPr>
        <w:t>4</w:t>
      </w:r>
      <w:r w:rsidRPr="00EF2484">
        <w:rPr>
          <w:rFonts w:ascii="Times New Roman" w:eastAsia="宋体" w:hAnsi="Times New Roman" w:hint="eastAsia"/>
          <w:sz w:val="18"/>
          <w:szCs w:val="18"/>
        </w:rPr>
        <w:t>期。</w:t>
      </w:r>
    </w:p>
    <w:p w14:paraId="3C3D19AD"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聂辉华、阮睿、沈吉，</w:t>
      </w:r>
      <w:r w:rsidRPr="00EF2484">
        <w:rPr>
          <w:rFonts w:ascii="Times New Roman" w:eastAsia="宋体" w:hAnsi="Times New Roman"/>
          <w:sz w:val="18"/>
          <w:szCs w:val="18"/>
        </w:rPr>
        <w:t>2020</w:t>
      </w:r>
      <w:r w:rsidRPr="00EF2484">
        <w:rPr>
          <w:rFonts w:ascii="Times New Roman" w:eastAsia="宋体" w:hAnsi="Times New Roman"/>
          <w:sz w:val="18"/>
          <w:szCs w:val="18"/>
        </w:rPr>
        <w:t>：《企业不确定性感知、投资决策和金融资产配置》，《世界经济》第</w:t>
      </w:r>
      <w:r w:rsidRPr="00EF2484">
        <w:rPr>
          <w:rFonts w:ascii="Times New Roman" w:eastAsia="宋体" w:hAnsi="Times New Roman"/>
          <w:sz w:val="18"/>
          <w:szCs w:val="18"/>
        </w:rPr>
        <w:t>6</w:t>
      </w:r>
      <w:r w:rsidRPr="00EF2484">
        <w:rPr>
          <w:rFonts w:ascii="Times New Roman" w:eastAsia="宋体" w:hAnsi="Times New Roman"/>
          <w:sz w:val="18"/>
          <w:szCs w:val="18"/>
        </w:rPr>
        <w:t>期。</w:t>
      </w:r>
    </w:p>
    <w:p w14:paraId="0F0EE402"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hint="eastAsia"/>
          <w:sz w:val="18"/>
          <w:szCs w:val="18"/>
        </w:rPr>
        <w:t>肖红军、沈洪涛、周艳坤，</w:t>
      </w:r>
      <w:r w:rsidRPr="00EF2484">
        <w:rPr>
          <w:rFonts w:ascii="Times New Roman" w:eastAsia="宋体" w:hAnsi="Times New Roman" w:hint="eastAsia"/>
          <w:sz w:val="18"/>
          <w:szCs w:val="18"/>
        </w:rPr>
        <w:t>2024</w:t>
      </w:r>
      <w:r w:rsidRPr="00EF2484">
        <w:rPr>
          <w:rFonts w:ascii="Times New Roman" w:eastAsia="宋体" w:hAnsi="Times New Roman" w:hint="eastAsia"/>
          <w:sz w:val="18"/>
          <w:szCs w:val="18"/>
        </w:rPr>
        <w:t>：《客户企业数字化、供应商企业</w:t>
      </w:r>
      <w:r w:rsidRPr="00EF2484">
        <w:rPr>
          <w:rFonts w:ascii="Times New Roman" w:eastAsia="宋体" w:hAnsi="Times New Roman"/>
          <w:sz w:val="18"/>
          <w:szCs w:val="18"/>
        </w:rPr>
        <w:t>ESG</w:t>
      </w:r>
      <w:r w:rsidRPr="00EF2484">
        <w:rPr>
          <w:rFonts w:ascii="Times New Roman" w:eastAsia="宋体" w:hAnsi="Times New Roman" w:hint="eastAsia"/>
          <w:sz w:val="18"/>
          <w:szCs w:val="18"/>
        </w:rPr>
        <w:t>表现与供应链可持续发展》，《经济研究》第</w:t>
      </w:r>
      <w:r w:rsidRPr="00EF2484">
        <w:rPr>
          <w:rFonts w:ascii="Times New Roman" w:eastAsia="宋体" w:hAnsi="Times New Roman" w:hint="eastAsia"/>
          <w:sz w:val="18"/>
          <w:szCs w:val="18"/>
        </w:rPr>
        <w:t>3</w:t>
      </w:r>
      <w:r w:rsidRPr="00EF2484">
        <w:rPr>
          <w:rFonts w:ascii="Times New Roman" w:eastAsia="宋体" w:hAnsi="Times New Roman" w:hint="eastAsia"/>
          <w:sz w:val="18"/>
          <w:szCs w:val="18"/>
        </w:rPr>
        <w:t>期。</w:t>
      </w:r>
    </w:p>
    <w:p w14:paraId="494DD241"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辛清泉、孔东民、郝颖，</w:t>
      </w:r>
      <w:r w:rsidRPr="00EF2484">
        <w:rPr>
          <w:rFonts w:ascii="Times New Roman" w:eastAsia="宋体" w:hAnsi="Times New Roman"/>
          <w:sz w:val="18"/>
          <w:szCs w:val="18"/>
        </w:rPr>
        <w:t>2014</w:t>
      </w:r>
      <w:r w:rsidRPr="00EF2484">
        <w:rPr>
          <w:rFonts w:ascii="Times New Roman" w:eastAsia="宋体" w:hAnsi="Times New Roman"/>
          <w:sz w:val="18"/>
          <w:szCs w:val="18"/>
        </w:rPr>
        <w:t>：《公司透明度与股价波动性》，《金融研究》第</w:t>
      </w:r>
      <w:r w:rsidRPr="00EF2484">
        <w:rPr>
          <w:rFonts w:ascii="Times New Roman" w:eastAsia="宋体" w:hAnsi="Times New Roman"/>
          <w:sz w:val="18"/>
          <w:szCs w:val="18"/>
        </w:rPr>
        <w:t>10</w:t>
      </w:r>
      <w:r w:rsidRPr="00EF2484">
        <w:rPr>
          <w:rFonts w:ascii="Times New Roman" w:eastAsia="宋体" w:hAnsi="Times New Roman"/>
          <w:sz w:val="18"/>
          <w:szCs w:val="18"/>
        </w:rPr>
        <w:t>期。</w:t>
      </w:r>
    </w:p>
    <w:p w14:paraId="773A8D51" w14:textId="7777777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Dechow</w:t>
      </w:r>
      <w:r w:rsidRPr="00EF2484">
        <w:rPr>
          <w:rFonts w:ascii="Times New Roman" w:eastAsia="宋体" w:hAnsi="Times New Roman" w:hint="eastAsia"/>
          <w:sz w:val="18"/>
          <w:szCs w:val="18"/>
        </w:rPr>
        <w:t>,</w:t>
      </w:r>
      <w:r w:rsidRPr="00EF2484">
        <w:rPr>
          <w:rFonts w:ascii="Times New Roman" w:eastAsia="宋体" w:hAnsi="Times New Roman"/>
          <w:sz w:val="18"/>
          <w:szCs w:val="18"/>
        </w:rPr>
        <w:t xml:space="preserve"> P</w:t>
      </w:r>
      <w:r w:rsidRPr="00EF2484">
        <w:rPr>
          <w:rFonts w:ascii="Times New Roman" w:eastAsia="宋体" w:hAnsi="Times New Roman" w:hint="eastAsia"/>
          <w:sz w:val="18"/>
          <w:szCs w:val="18"/>
        </w:rPr>
        <w:t>.</w:t>
      </w:r>
      <w:r w:rsidRPr="00EF2484">
        <w:rPr>
          <w:rFonts w:ascii="Times New Roman" w:eastAsia="宋体" w:hAnsi="Times New Roman"/>
          <w:sz w:val="18"/>
          <w:szCs w:val="18"/>
        </w:rPr>
        <w:t xml:space="preserve"> M</w:t>
      </w:r>
      <w:r w:rsidRPr="00EF2484">
        <w:rPr>
          <w:rFonts w:ascii="Times New Roman" w:eastAsia="宋体" w:hAnsi="Times New Roman" w:hint="eastAsia"/>
          <w:sz w:val="18"/>
          <w:szCs w:val="18"/>
        </w:rPr>
        <w:t>.</w:t>
      </w:r>
      <w:r w:rsidRPr="00EF2484">
        <w:rPr>
          <w:rFonts w:ascii="Times New Roman" w:eastAsia="宋体" w:hAnsi="Times New Roman"/>
          <w:sz w:val="18"/>
          <w:szCs w:val="18"/>
        </w:rPr>
        <w:t xml:space="preserve">, </w:t>
      </w:r>
      <w:r w:rsidRPr="00EF2484">
        <w:rPr>
          <w:rFonts w:ascii="Times New Roman" w:eastAsia="宋体" w:hAnsi="Times New Roman" w:hint="eastAsia"/>
          <w:sz w:val="18"/>
          <w:szCs w:val="18"/>
        </w:rPr>
        <w:t xml:space="preserve">and I. D. </w:t>
      </w:r>
      <w:r w:rsidRPr="00EF2484">
        <w:rPr>
          <w:rFonts w:ascii="Times New Roman" w:eastAsia="宋体" w:hAnsi="Times New Roman"/>
          <w:sz w:val="18"/>
          <w:szCs w:val="18"/>
        </w:rPr>
        <w:t>Dichev.</w:t>
      </w:r>
      <w:r w:rsidRPr="00EF2484">
        <w:rPr>
          <w:rFonts w:ascii="Times New Roman" w:eastAsia="宋体" w:hAnsi="Times New Roman" w:hint="eastAsia"/>
          <w:sz w:val="18"/>
          <w:szCs w:val="18"/>
        </w:rPr>
        <w:t xml:space="preserve"> 2002.</w:t>
      </w:r>
      <w:r w:rsidRPr="00EF2484">
        <w:rPr>
          <w:rFonts w:ascii="Times New Roman" w:eastAsia="宋体" w:hAnsi="Times New Roman"/>
          <w:sz w:val="18"/>
          <w:szCs w:val="18"/>
        </w:rPr>
        <w:t xml:space="preserve"> “The </w:t>
      </w:r>
      <w:r w:rsidRPr="00EF2484">
        <w:rPr>
          <w:rFonts w:ascii="Times New Roman" w:eastAsia="宋体" w:hAnsi="Times New Roman" w:hint="eastAsia"/>
          <w:sz w:val="18"/>
          <w:szCs w:val="18"/>
        </w:rPr>
        <w:t>Q</w:t>
      </w:r>
      <w:r w:rsidRPr="00EF2484">
        <w:rPr>
          <w:rFonts w:ascii="Times New Roman" w:eastAsia="宋体" w:hAnsi="Times New Roman"/>
          <w:sz w:val="18"/>
          <w:szCs w:val="18"/>
        </w:rPr>
        <w:t xml:space="preserve">uality of </w:t>
      </w:r>
      <w:r w:rsidRPr="00EF2484">
        <w:rPr>
          <w:rFonts w:ascii="Times New Roman" w:eastAsia="宋体" w:hAnsi="Times New Roman" w:hint="eastAsia"/>
          <w:sz w:val="18"/>
          <w:szCs w:val="18"/>
        </w:rPr>
        <w:t>A</w:t>
      </w:r>
      <w:r w:rsidRPr="00EF2484">
        <w:rPr>
          <w:rFonts w:ascii="Times New Roman" w:eastAsia="宋体" w:hAnsi="Times New Roman"/>
          <w:sz w:val="18"/>
          <w:szCs w:val="18"/>
        </w:rPr>
        <w:t xml:space="preserve">ccruals and </w:t>
      </w:r>
      <w:r w:rsidRPr="00EF2484">
        <w:rPr>
          <w:rFonts w:ascii="Times New Roman" w:eastAsia="宋体" w:hAnsi="Times New Roman" w:hint="eastAsia"/>
          <w:sz w:val="18"/>
          <w:szCs w:val="18"/>
        </w:rPr>
        <w:t>E</w:t>
      </w:r>
      <w:r w:rsidRPr="00EF2484">
        <w:rPr>
          <w:rFonts w:ascii="Times New Roman" w:eastAsia="宋体" w:hAnsi="Times New Roman"/>
          <w:sz w:val="18"/>
          <w:szCs w:val="18"/>
        </w:rPr>
        <w:t xml:space="preserve">arnings: The </w:t>
      </w:r>
      <w:r w:rsidRPr="00EF2484">
        <w:rPr>
          <w:rFonts w:ascii="Times New Roman" w:eastAsia="宋体" w:hAnsi="Times New Roman" w:hint="eastAsia"/>
          <w:sz w:val="18"/>
          <w:szCs w:val="18"/>
        </w:rPr>
        <w:t>R</w:t>
      </w:r>
      <w:r w:rsidRPr="00EF2484">
        <w:rPr>
          <w:rFonts w:ascii="Times New Roman" w:eastAsia="宋体" w:hAnsi="Times New Roman"/>
          <w:sz w:val="18"/>
          <w:szCs w:val="18"/>
        </w:rPr>
        <w:t xml:space="preserve">ole of </w:t>
      </w:r>
      <w:r w:rsidRPr="00EF2484">
        <w:rPr>
          <w:rFonts w:ascii="Times New Roman" w:eastAsia="宋体" w:hAnsi="Times New Roman" w:hint="eastAsia"/>
          <w:sz w:val="18"/>
          <w:szCs w:val="18"/>
        </w:rPr>
        <w:t>A</w:t>
      </w:r>
      <w:r w:rsidRPr="00EF2484">
        <w:rPr>
          <w:rFonts w:ascii="Times New Roman" w:eastAsia="宋体" w:hAnsi="Times New Roman"/>
          <w:sz w:val="18"/>
          <w:szCs w:val="18"/>
        </w:rPr>
        <w:t xml:space="preserve">ccrual </w:t>
      </w:r>
      <w:r w:rsidRPr="00EF2484">
        <w:rPr>
          <w:rFonts w:ascii="Times New Roman" w:eastAsia="宋体" w:hAnsi="Times New Roman" w:hint="eastAsia"/>
          <w:sz w:val="18"/>
          <w:szCs w:val="18"/>
        </w:rPr>
        <w:t>E</w:t>
      </w:r>
      <w:r w:rsidRPr="00EF2484">
        <w:rPr>
          <w:rFonts w:ascii="Times New Roman" w:eastAsia="宋体" w:hAnsi="Times New Roman"/>
          <w:sz w:val="18"/>
          <w:szCs w:val="18"/>
        </w:rPr>
        <w:t xml:space="preserve">stimation </w:t>
      </w:r>
      <w:r w:rsidRPr="00EF2484">
        <w:rPr>
          <w:rFonts w:ascii="Times New Roman" w:eastAsia="宋体" w:hAnsi="Times New Roman" w:hint="eastAsia"/>
          <w:sz w:val="18"/>
          <w:szCs w:val="18"/>
        </w:rPr>
        <w:t>E</w:t>
      </w:r>
      <w:r w:rsidRPr="00EF2484">
        <w:rPr>
          <w:rFonts w:ascii="Times New Roman" w:eastAsia="宋体" w:hAnsi="Times New Roman"/>
          <w:sz w:val="18"/>
          <w:szCs w:val="18"/>
        </w:rPr>
        <w:t xml:space="preserve">rrors.” </w:t>
      </w:r>
      <w:r w:rsidRPr="00EF2484">
        <w:rPr>
          <w:rFonts w:ascii="Times New Roman" w:eastAsia="宋体" w:hAnsi="Times New Roman"/>
          <w:i/>
          <w:iCs/>
          <w:sz w:val="18"/>
          <w:szCs w:val="18"/>
        </w:rPr>
        <w:t xml:space="preserve">The </w:t>
      </w:r>
      <w:r w:rsidRPr="00EF2484">
        <w:rPr>
          <w:rFonts w:ascii="Times New Roman" w:eastAsia="宋体" w:hAnsi="Times New Roman" w:hint="eastAsia"/>
          <w:i/>
          <w:iCs/>
          <w:sz w:val="18"/>
          <w:szCs w:val="18"/>
        </w:rPr>
        <w:t>A</w:t>
      </w:r>
      <w:r w:rsidRPr="00EF2484">
        <w:rPr>
          <w:rFonts w:ascii="Times New Roman" w:eastAsia="宋体" w:hAnsi="Times New Roman"/>
          <w:i/>
          <w:iCs/>
          <w:sz w:val="18"/>
          <w:szCs w:val="18"/>
        </w:rPr>
        <w:t xml:space="preserve">ccounting </w:t>
      </w:r>
      <w:r w:rsidRPr="00EF2484">
        <w:rPr>
          <w:rFonts w:ascii="Times New Roman" w:eastAsia="宋体" w:hAnsi="Times New Roman" w:hint="eastAsia"/>
          <w:i/>
          <w:iCs/>
          <w:sz w:val="18"/>
          <w:szCs w:val="18"/>
        </w:rPr>
        <w:t>R</w:t>
      </w:r>
      <w:r w:rsidRPr="00EF2484">
        <w:rPr>
          <w:rFonts w:ascii="Times New Roman" w:eastAsia="宋体" w:hAnsi="Times New Roman"/>
          <w:i/>
          <w:iCs/>
          <w:sz w:val="18"/>
          <w:szCs w:val="18"/>
        </w:rPr>
        <w:t>eview</w:t>
      </w:r>
      <w:r w:rsidRPr="00EF2484">
        <w:rPr>
          <w:rFonts w:ascii="Times New Roman" w:eastAsia="宋体" w:hAnsi="Times New Roman"/>
          <w:sz w:val="18"/>
          <w:szCs w:val="18"/>
        </w:rPr>
        <w:t xml:space="preserve"> 77(s-1): 35-59.</w:t>
      </w:r>
    </w:p>
    <w:p w14:paraId="1D6999B6" w14:textId="36CFB227" w:rsidR="00EF2484" w:rsidRPr="00EF2484" w:rsidRDefault="00EF2484" w:rsidP="00EF2484">
      <w:pPr>
        <w:pStyle w:val="a9"/>
        <w:widowControl w:val="0"/>
        <w:numPr>
          <w:ilvl w:val="0"/>
          <w:numId w:val="2"/>
        </w:numPr>
        <w:ind w:firstLineChars="0"/>
        <w:rPr>
          <w:rFonts w:ascii="Times New Roman" w:eastAsia="宋体" w:hAnsi="Times New Roman"/>
          <w:sz w:val="18"/>
          <w:szCs w:val="18"/>
        </w:rPr>
      </w:pPr>
      <w:r w:rsidRPr="00EF2484">
        <w:rPr>
          <w:rFonts w:ascii="Times New Roman" w:eastAsia="宋体" w:hAnsi="Times New Roman"/>
          <w:sz w:val="18"/>
          <w:szCs w:val="18"/>
        </w:rPr>
        <w:t>Lang</w:t>
      </w:r>
      <w:r w:rsidRPr="00EF2484">
        <w:rPr>
          <w:rFonts w:ascii="Times New Roman" w:eastAsia="宋体" w:hAnsi="Times New Roman" w:hint="eastAsia"/>
          <w:sz w:val="18"/>
          <w:szCs w:val="18"/>
        </w:rPr>
        <w:t>,</w:t>
      </w:r>
      <w:r w:rsidRPr="00EF2484">
        <w:rPr>
          <w:rFonts w:ascii="Times New Roman" w:eastAsia="宋体" w:hAnsi="Times New Roman"/>
          <w:sz w:val="18"/>
          <w:szCs w:val="18"/>
        </w:rPr>
        <w:t xml:space="preserve"> M</w:t>
      </w:r>
      <w:r w:rsidRPr="00EF2484">
        <w:rPr>
          <w:rFonts w:ascii="Times New Roman" w:eastAsia="宋体" w:hAnsi="Times New Roman" w:hint="eastAsia"/>
          <w:sz w:val="18"/>
          <w:szCs w:val="18"/>
        </w:rPr>
        <w:t>.</w:t>
      </w:r>
      <w:r w:rsidRPr="00EF2484">
        <w:rPr>
          <w:rFonts w:ascii="Times New Roman" w:eastAsia="宋体" w:hAnsi="Times New Roman"/>
          <w:sz w:val="18"/>
          <w:szCs w:val="18"/>
        </w:rPr>
        <w:t xml:space="preserve">, </w:t>
      </w:r>
      <w:r w:rsidRPr="00EF2484">
        <w:rPr>
          <w:rFonts w:ascii="Times New Roman" w:eastAsia="宋体" w:hAnsi="Times New Roman" w:hint="eastAsia"/>
          <w:sz w:val="18"/>
          <w:szCs w:val="18"/>
        </w:rPr>
        <w:t xml:space="preserve">K. V. </w:t>
      </w:r>
      <w:r w:rsidRPr="00EF2484">
        <w:rPr>
          <w:rFonts w:ascii="Times New Roman" w:eastAsia="宋体" w:hAnsi="Times New Roman"/>
          <w:sz w:val="18"/>
          <w:szCs w:val="18"/>
        </w:rPr>
        <w:t>Lins,</w:t>
      </w:r>
      <w:r w:rsidRPr="00EF2484">
        <w:rPr>
          <w:rFonts w:ascii="Times New Roman" w:eastAsia="宋体" w:hAnsi="Times New Roman" w:hint="eastAsia"/>
          <w:sz w:val="18"/>
          <w:szCs w:val="18"/>
        </w:rPr>
        <w:t xml:space="preserve"> and M.</w:t>
      </w:r>
      <w:r w:rsidRPr="00EF2484">
        <w:rPr>
          <w:rFonts w:ascii="Times New Roman" w:eastAsia="宋体" w:hAnsi="Times New Roman"/>
          <w:sz w:val="18"/>
          <w:szCs w:val="18"/>
        </w:rPr>
        <w:t xml:space="preserve"> Maffett.</w:t>
      </w:r>
      <w:r w:rsidRPr="00EF2484">
        <w:rPr>
          <w:rFonts w:ascii="Times New Roman" w:eastAsia="宋体" w:hAnsi="Times New Roman" w:hint="eastAsia"/>
          <w:sz w:val="18"/>
          <w:szCs w:val="18"/>
        </w:rPr>
        <w:t xml:space="preserve"> 2012.</w:t>
      </w:r>
      <w:r w:rsidRPr="00EF2484">
        <w:rPr>
          <w:rFonts w:ascii="Times New Roman" w:eastAsia="宋体" w:hAnsi="Times New Roman"/>
          <w:sz w:val="18"/>
          <w:szCs w:val="18"/>
        </w:rPr>
        <w:t xml:space="preserve"> “Transparency, </w:t>
      </w:r>
      <w:r w:rsidRPr="00EF2484">
        <w:rPr>
          <w:rFonts w:ascii="Times New Roman" w:eastAsia="宋体" w:hAnsi="Times New Roman" w:hint="eastAsia"/>
          <w:sz w:val="18"/>
          <w:szCs w:val="18"/>
        </w:rPr>
        <w:t>L</w:t>
      </w:r>
      <w:r w:rsidRPr="00EF2484">
        <w:rPr>
          <w:rFonts w:ascii="Times New Roman" w:eastAsia="宋体" w:hAnsi="Times New Roman"/>
          <w:sz w:val="18"/>
          <w:szCs w:val="18"/>
        </w:rPr>
        <w:t xml:space="preserve">iquidity, and </w:t>
      </w:r>
      <w:r w:rsidRPr="00EF2484">
        <w:rPr>
          <w:rFonts w:ascii="Times New Roman" w:eastAsia="宋体" w:hAnsi="Times New Roman" w:hint="eastAsia"/>
          <w:sz w:val="18"/>
          <w:szCs w:val="18"/>
        </w:rPr>
        <w:t>V</w:t>
      </w:r>
      <w:r w:rsidRPr="00EF2484">
        <w:rPr>
          <w:rFonts w:ascii="Times New Roman" w:eastAsia="宋体" w:hAnsi="Times New Roman"/>
          <w:sz w:val="18"/>
          <w:szCs w:val="18"/>
        </w:rPr>
        <w:t xml:space="preserve">aluation: International </w:t>
      </w:r>
      <w:r w:rsidRPr="00EF2484">
        <w:rPr>
          <w:rFonts w:ascii="Times New Roman" w:eastAsia="宋体" w:hAnsi="Times New Roman" w:hint="eastAsia"/>
          <w:sz w:val="18"/>
          <w:szCs w:val="18"/>
        </w:rPr>
        <w:t>E</w:t>
      </w:r>
      <w:r w:rsidRPr="00EF2484">
        <w:rPr>
          <w:rFonts w:ascii="Times New Roman" w:eastAsia="宋体" w:hAnsi="Times New Roman"/>
          <w:sz w:val="18"/>
          <w:szCs w:val="18"/>
        </w:rPr>
        <w:t>vidence on</w:t>
      </w:r>
      <w:r w:rsidRPr="00EF2484">
        <w:rPr>
          <w:rFonts w:ascii="Times New Roman" w:eastAsia="宋体" w:hAnsi="Times New Roman" w:hint="eastAsia"/>
          <w:sz w:val="18"/>
          <w:szCs w:val="18"/>
        </w:rPr>
        <w:t xml:space="preserve"> W</w:t>
      </w:r>
      <w:r w:rsidRPr="00EF2484">
        <w:rPr>
          <w:rFonts w:ascii="Times New Roman" w:eastAsia="宋体" w:hAnsi="Times New Roman"/>
          <w:sz w:val="18"/>
          <w:szCs w:val="18"/>
        </w:rPr>
        <w:t xml:space="preserve">hen </w:t>
      </w:r>
      <w:r w:rsidRPr="00EF2484">
        <w:rPr>
          <w:rFonts w:ascii="Times New Roman" w:eastAsia="宋体" w:hAnsi="Times New Roman" w:hint="eastAsia"/>
          <w:sz w:val="18"/>
          <w:szCs w:val="18"/>
        </w:rPr>
        <w:t>T</w:t>
      </w:r>
      <w:r w:rsidRPr="00EF2484">
        <w:rPr>
          <w:rFonts w:ascii="Times New Roman" w:eastAsia="宋体" w:hAnsi="Times New Roman"/>
          <w:sz w:val="18"/>
          <w:szCs w:val="18"/>
        </w:rPr>
        <w:t xml:space="preserve">ransparency </w:t>
      </w:r>
      <w:r w:rsidRPr="00EF2484">
        <w:rPr>
          <w:rFonts w:ascii="Times New Roman" w:eastAsia="宋体" w:hAnsi="Times New Roman" w:hint="eastAsia"/>
          <w:sz w:val="18"/>
          <w:szCs w:val="18"/>
        </w:rPr>
        <w:t>M</w:t>
      </w:r>
      <w:r w:rsidRPr="00EF2484">
        <w:rPr>
          <w:rFonts w:ascii="Times New Roman" w:eastAsia="宋体" w:hAnsi="Times New Roman"/>
          <w:sz w:val="18"/>
          <w:szCs w:val="18"/>
        </w:rPr>
        <w:t xml:space="preserve">atters </w:t>
      </w:r>
      <w:r w:rsidRPr="00EF2484">
        <w:rPr>
          <w:rFonts w:ascii="Times New Roman" w:eastAsia="宋体" w:hAnsi="Times New Roman" w:hint="eastAsia"/>
          <w:sz w:val="18"/>
          <w:szCs w:val="18"/>
        </w:rPr>
        <w:t>M</w:t>
      </w:r>
      <w:r w:rsidRPr="00EF2484">
        <w:rPr>
          <w:rFonts w:ascii="Times New Roman" w:eastAsia="宋体" w:hAnsi="Times New Roman"/>
          <w:sz w:val="18"/>
          <w:szCs w:val="18"/>
        </w:rPr>
        <w:t xml:space="preserve">ost.” </w:t>
      </w:r>
      <w:r w:rsidRPr="00EF2484">
        <w:rPr>
          <w:rFonts w:ascii="Times New Roman" w:eastAsia="宋体" w:hAnsi="Times New Roman"/>
          <w:i/>
          <w:iCs/>
          <w:sz w:val="18"/>
          <w:szCs w:val="18"/>
        </w:rPr>
        <w:t xml:space="preserve">Journal of </w:t>
      </w:r>
      <w:r w:rsidRPr="00EF2484">
        <w:rPr>
          <w:rFonts w:ascii="Times New Roman" w:eastAsia="宋体" w:hAnsi="Times New Roman" w:hint="eastAsia"/>
          <w:i/>
          <w:iCs/>
          <w:sz w:val="18"/>
          <w:szCs w:val="18"/>
        </w:rPr>
        <w:t>A</w:t>
      </w:r>
      <w:r w:rsidRPr="00EF2484">
        <w:rPr>
          <w:rFonts w:ascii="Times New Roman" w:eastAsia="宋体" w:hAnsi="Times New Roman"/>
          <w:i/>
          <w:iCs/>
          <w:sz w:val="18"/>
          <w:szCs w:val="18"/>
        </w:rPr>
        <w:t xml:space="preserve">ccounting </w:t>
      </w:r>
      <w:r w:rsidRPr="00EF2484">
        <w:rPr>
          <w:rFonts w:ascii="Times New Roman" w:eastAsia="宋体" w:hAnsi="Times New Roman" w:hint="eastAsia"/>
          <w:i/>
          <w:iCs/>
          <w:sz w:val="18"/>
          <w:szCs w:val="18"/>
        </w:rPr>
        <w:t>R</w:t>
      </w:r>
      <w:r w:rsidRPr="00EF2484">
        <w:rPr>
          <w:rFonts w:ascii="Times New Roman" w:eastAsia="宋体" w:hAnsi="Times New Roman"/>
          <w:i/>
          <w:iCs/>
          <w:sz w:val="18"/>
          <w:szCs w:val="18"/>
        </w:rPr>
        <w:t>esearch</w:t>
      </w:r>
      <w:r w:rsidRPr="00EF2484">
        <w:rPr>
          <w:rFonts w:ascii="Times New Roman" w:eastAsia="宋体" w:hAnsi="Times New Roman"/>
          <w:sz w:val="18"/>
          <w:szCs w:val="18"/>
        </w:rPr>
        <w:t xml:space="preserve"> 50(3): 729-774.</w:t>
      </w:r>
    </w:p>
    <w:sectPr w:rsidR="00EF2484" w:rsidRPr="00EF2484" w:rsidSect="00EF2484">
      <w:headerReference w:type="even" r:id="rId8"/>
      <w:headerReference w:type="default" r:id="rId9"/>
      <w:footerReference w:type="even" r:id="rId10"/>
      <w:footerReference w:type="default" r:id="rId11"/>
      <w:headerReference w:type="first" r:id="rId12"/>
      <w:footerReference w:type="first" r:id="rId13"/>
      <w:footnotePr>
        <w:numFmt w:val="decimalEnclosedCircleChinese"/>
        <w:numRestart w:val="eachPage"/>
      </w:footnotePr>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1D8C" w14:textId="77777777" w:rsidR="001B47DC" w:rsidRDefault="001B47DC" w:rsidP="00B14B62">
      <w:pPr>
        <w:ind w:firstLine="440"/>
        <w:rPr>
          <w:rFonts w:hint="eastAsia"/>
        </w:rPr>
      </w:pPr>
      <w:r>
        <w:separator/>
      </w:r>
    </w:p>
  </w:endnote>
  <w:endnote w:type="continuationSeparator" w:id="0">
    <w:p w14:paraId="7451807D" w14:textId="77777777" w:rsidR="001B47DC" w:rsidRDefault="001B47DC" w:rsidP="00B14B62">
      <w:pPr>
        <w:ind w:firstLine="4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80A3" w14:textId="77777777" w:rsidR="00B14B62" w:rsidRDefault="00B14B62">
    <w:pPr>
      <w:pStyle w:val="af0"/>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74163"/>
      <w:docPartObj>
        <w:docPartGallery w:val="Page Numbers (Bottom of Page)"/>
        <w:docPartUnique/>
      </w:docPartObj>
    </w:sdtPr>
    <w:sdtContent>
      <w:p w14:paraId="6469BCE2" w14:textId="4FBB2DD2" w:rsidR="00EF2484" w:rsidRDefault="00EF2484">
        <w:pPr>
          <w:pStyle w:val="af0"/>
          <w:ind w:firstLine="360"/>
          <w:jc w:val="center"/>
          <w:rPr>
            <w:rFonts w:hint="eastAsia"/>
          </w:rPr>
        </w:pPr>
        <w:r>
          <w:fldChar w:fldCharType="begin"/>
        </w:r>
        <w:r>
          <w:instrText>PAGE   \* MERGEFORMAT</w:instrText>
        </w:r>
        <w:r>
          <w:fldChar w:fldCharType="separate"/>
        </w:r>
        <w:r>
          <w:rPr>
            <w:lang w:val="zh-CN"/>
          </w:rPr>
          <w:t>2</w:t>
        </w:r>
        <w:r>
          <w:fldChar w:fldCharType="end"/>
        </w:r>
      </w:p>
    </w:sdtContent>
  </w:sdt>
  <w:p w14:paraId="739C220A" w14:textId="77777777" w:rsidR="00B14B62" w:rsidRDefault="00B14B62">
    <w:pPr>
      <w:pStyle w:val="af0"/>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4A3" w14:textId="77777777" w:rsidR="00B14B62" w:rsidRDefault="00B14B62">
    <w:pPr>
      <w:pStyle w:val="af0"/>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518A" w14:textId="77777777" w:rsidR="001B47DC" w:rsidRDefault="001B47DC" w:rsidP="00B14B62">
      <w:pPr>
        <w:ind w:firstLine="440"/>
        <w:rPr>
          <w:rFonts w:hint="eastAsia"/>
        </w:rPr>
      </w:pPr>
      <w:r>
        <w:separator/>
      </w:r>
    </w:p>
  </w:footnote>
  <w:footnote w:type="continuationSeparator" w:id="0">
    <w:p w14:paraId="08D17C9E" w14:textId="77777777" w:rsidR="001B47DC" w:rsidRDefault="001B47DC" w:rsidP="00B14B62">
      <w:pPr>
        <w:ind w:firstLine="440"/>
        <w:rPr>
          <w:rFonts w:hint="eastAsia"/>
        </w:rPr>
      </w:pPr>
      <w:r>
        <w:continuationSeparator/>
      </w:r>
    </w:p>
  </w:footnote>
  <w:footnote w:id="1">
    <w:p w14:paraId="0034DE95" w14:textId="77777777" w:rsidR="00465368" w:rsidRDefault="00465368" w:rsidP="00465368">
      <w:pPr>
        <w:pStyle w:val="af2"/>
        <w:ind w:firstLineChars="200" w:firstLine="360"/>
        <w:jc w:val="both"/>
        <w:rPr>
          <w:rStyle w:val="af4"/>
          <w:rFonts w:ascii="Times New Roman" w:eastAsia="楷体" w:hAnsi="Times New Roman"/>
          <w:vertAlign w:val="baseline"/>
        </w:rPr>
      </w:pPr>
      <w:r>
        <w:rPr>
          <w:rStyle w:val="af4"/>
          <w:rFonts w:ascii="Times New Roman" w:eastAsia="楷体" w:hAnsi="Times New Roman"/>
          <w:vertAlign w:val="baseline"/>
        </w:rPr>
        <w:footnoteRef/>
      </w:r>
      <w:r>
        <w:rPr>
          <w:rStyle w:val="af4"/>
          <w:rFonts w:ascii="Times New Roman" w:eastAsia="楷体" w:hAnsi="Times New Roman" w:hint="eastAsia"/>
          <w:vertAlign w:val="baseline"/>
        </w:rPr>
        <w:t>参考聂辉华等（</w:t>
      </w:r>
      <w:r>
        <w:rPr>
          <w:rStyle w:val="af4"/>
          <w:rFonts w:ascii="Times New Roman" w:eastAsia="楷体" w:hAnsi="Times New Roman" w:hint="eastAsia"/>
          <w:vertAlign w:val="baseline"/>
        </w:rPr>
        <w:t>2020</w:t>
      </w:r>
      <w:r>
        <w:rPr>
          <w:rStyle w:val="af4"/>
          <w:rFonts w:ascii="Times New Roman" w:eastAsia="楷体" w:hAnsi="Times New Roman" w:hint="eastAsia"/>
          <w:vertAlign w:val="baseline"/>
        </w:rPr>
        <w:t>）、方明月等（</w:t>
      </w:r>
      <w:r>
        <w:rPr>
          <w:rStyle w:val="af4"/>
          <w:rFonts w:ascii="Times New Roman" w:eastAsia="楷体" w:hAnsi="Times New Roman" w:hint="eastAsia"/>
          <w:vertAlign w:val="baseline"/>
        </w:rPr>
        <w:t>2023</w:t>
      </w:r>
      <w:r>
        <w:rPr>
          <w:rStyle w:val="af4"/>
          <w:rFonts w:ascii="Times New Roman" w:eastAsia="楷体" w:hAnsi="Times New Roman" w:hint="eastAsia"/>
          <w:vertAlign w:val="baseline"/>
        </w:rPr>
        <w:t>）的具体做法，本文将经济政策相关的关键词设定为：货币政策、经济政策、宏观政策、宏观调控、国家、国民经济和当地政府等词语。</w:t>
      </w:r>
    </w:p>
  </w:footnote>
  <w:footnote w:id="2">
    <w:p w14:paraId="074B9F26" w14:textId="77777777" w:rsidR="00465368" w:rsidRDefault="00465368" w:rsidP="00465368">
      <w:pPr>
        <w:pStyle w:val="af2"/>
        <w:ind w:firstLineChars="200" w:firstLine="360"/>
        <w:jc w:val="both"/>
        <w:rPr>
          <w:rStyle w:val="af4"/>
          <w:rFonts w:ascii="Times New Roman" w:eastAsia="楷体" w:hAnsi="Times New Roman"/>
          <w:vertAlign w:val="baseline"/>
        </w:rPr>
      </w:pPr>
      <w:r>
        <w:rPr>
          <w:rStyle w:val="af4"/>
          <w:rFonts w:ascii="Times New Roman" w:eastAsia="楷体" w:hAnsi="Times New Roman" w:hint="eastAsia"/>
          <w:vertAlign w:val="baseline"/>
        </w:rPr>
        <w:footnoteRef/>
      </w:r>
      <w:r>
        <w:rPr>
          <w:rStyle w:val="af4"/>
          <w:rFonts w:ascii="Times New Roman" w:eastAsia="楷体" w:hAnsi="Times New Roman" w:hint="eastAsia"/>
          <w:vertAlign w:val="baseline"/>
        </w:rPr>
        <w:t>本文将需求类相关关键词设定为：上游、需求、购买、采购、采买等词语；将供给类相关关键词设定为：下游、供应、供给、销售、贩卖等词语；不确定性相关关键词与前文保持一致。此外，考虑到需求类词汇（供给类）词汇与不确定性词汇相距过远则无识别意义，所以我们仅识别两类词汇相距不超过</w:t>
      </w:r>
      <w:r>
        <w:rPr>
          <w:rStyle w:val="af4"/>
          <w:rFonts w:ascii="Times New Roman" w:eastAsia="楷体" w:hAnsi="Times New Roman" w:hint="eastAsia"/>
          <w:vertAlign w:val="baseline"/>
        </w:rPr>
        <w:t>15</w:t>
      </w:r>
      <w:r>
        <w:rPr>
          <w:rStyle w:val="af4"/>
          <w:rFonts w:ascii="Times New Roman" w:eastAsia="楷体" w:hAnsi="Times New Roman" w:hint="eastAsia"/>
          <w:vertAlign w:val="baseline"/>
        </w:rPr>
        <w:t>个字符的句子，进而计算其占总句数的比例。</w:t>
      </w:r>
    </w:p>
  </w:footnote>
  <w:footnote w:id="3">
    <w:p w14:paraId="02855EFF" w14:textId="77777777" w:rsidR="00B14B62" w:rsidRPr="00D00826" w:rsidRDefault="00B14B62" w:rsidP="00B14B62">
      <w:pPr>
        <w:pStyle w:val="af2"/>
        <w:ind w:firstLineChars="200" w:firstLine="360"/>
        <w:jc w:val="both"/>
        <w:rPr>
          <w:rStyle w:val="af4"/>
          <w:rFonts w:ascii="Times New Roman" w:eastAsia="楷体" w:hAnsi="Times New Roman"/>
          <w:vertAlign w:val="baseline"/>
        </w:rPr>
      </w:pPr>
      <w:r w:rsidRPr="00D00826">
        <w:rPr>
          <w:rStyle w:val="af4"/>
          <w:rFonts w:ascii="Times New Roman" w:eastAsia="楷体" w:hAnsi="Times New Roman"/>
          <w:vertAlign w:val="baseline"/>
        </w:rPr>
        <w:footnoteRef/>
      </w:r>
      <w:r w:rsidRPr="00D00826">
        <w:rPr>
          <w:rStyle w:val="af4"/>
          <w:rFonts w:ascii="Times New Roman" w:eastAsia="楷体" w:hAnsi="Times New Roman" w:hint="eastAsia"/>
          <w:vertAlign w:val="baseline"/>
        </w:rPr>
        <w:t>此外，考虑到地区层面的时变因素也可能对基准回归结果造成影响，本文控制省份</w:t>
      </w:r>
      <w:r w:rsidRPr="00D00826">
        <w:rPr>
          <w:rStyle w:val="af4"/>
          <w:rFonts w:ascii="Times New Roman" w:eastAsia="楷体" w:hAnsi="Times New Roman" w:hint="eastAsia"/>
          <w:vertAlign w:val="baseline"/>
        </w:rPr>
        <w:t>-</w:t>
      </w:r>
      <w:r w:rsidRPr="00D00826">
        <w:rPr>
          <w:rStyle w:val="af4"/>
          <w:rFonts w:ascii="Times New Roman" w:eastAsia="楷体" w:hAnsi="Times New Roman"/>
          <w:vertAlign w:val="baseline"/>
        </w:rPr>
        <w:t>年份固定效应，</w:t>
      </w:r>
      <w:r w:rsidRPr="00D00826">
        <w:rPr>
          <w:rStyle w:val="af4"/>
          <w:rFonts w:ascii="Times New Roman" w:eastAsia="楷体" w:hAnsi="Times New Roman" w:hint="eastAsia"/>
          <w:vertAlign w:val="baseline"/>
        </w:rPr>
        <w:t>回归结果仍然成立，囿于文章篇幅，未在正文予以汇报。</w:t>
      </w:r>
    </w:p>
  </w:footnote>
  <w:footnote w:id="4">
    <w:p w14:paraId="519A1129" w14:textId="77777777" w:rsidR="00B14B62" w:rsidRPr="00D00826" w:rsidRDefault="00B14B62" w:rsidP="00B14B62">
      <w:pPr>
        <w:pStyle w:val="af2"/>
        <w:ind w:firstLineChars="200" w:firstLine="360"/>
        <w:jc w:val="both"/>
        <w:rPr>
          <w:rStyle w:val="af4"/>
          <w:rFonts w:ascii="Times New Roman" w:eastAsia="楷体" w:hAnsi="Times New Roman"/>
          <w:vertAlign w:val="baseline"/>
        </w:rPr>
      </w:pPr>
      <w:r w:rsidRPr="00D00826">
        <w:rPr>
          <w:rStyle w:val="af4"/>
          <w:rFonts w:ascii="Times New Roman" w:eastAsia="楷体" w:hAnsi="Times New Roman"/>
          <w:vertAlign w:val="baseline"/>
        </w:rPr>
        <w:footnoteRef/>
      </w:r>
      <w:r w:rsidRPr="00D00826">
        <w:rPr>
          <w:rStyle w:val="af4"/>
          <w:rFonts w:ascii="Times New Roman" w:eastAsia="楷体" w:hAnsi="Times New Roman" w:hint="eastAsia"/>
          <w:vertAlign w:val="baseline"/>
        </w:rPr>
        <w:t>此外，考虑到同行业的企业在产业政策等方面也具有较高相似度，同行业企业可能存在关联，本文将标准误聚类到行业层面，回归结果仍然成立，囿于文章篇幅，未在正文予以汇报。</w:t>
      </w:r>
    </w:p>
  </w:footnote>
  <w:footnote w:id="5">
    <w:p w14:paraId="1E913867" w14:textId="77777777" w:rsidR="00B14B62" w:rsidRPr="00C608C2" w:rsidRDefault="00B14B62" w:rsidP="00B14B62">
      <w:pPr>
        <w:pStyle w:val="af2"/>
        <w:ind w:firstLineChars="200" w:firstLine="360"/>
        <w:jc w:val="both"/>
        <w:rPr>
          <w:rFonts w:ascii="Times New Roman" w:eastAsia="楷体" w:hAnsi="Times New Roman"/>
        </w:rPr>
      </w:pPr>
      <w:r w:rsidRPr="00C608C2">
        <w:rPr>
          <w:rFonts w:eastAsia="楷体" w:hint="eastAsia"/>
        </w:rPr>
        <w:footnoteRef/>
      </w:r>
      <m:oMath>
        <m:r>
          <w:rPr>
            <w:rFonts w:ascii="Cambria Math" w:eastAsia="楷体" w:hAnsi="Cambria Math"/>
          </w:rPr>
          <m:t>overfina</m:t>
        </m:r>
        <m:sSub>
          <m:sSubPr>
            <m:ctrlPr>
              <w:rPr>
                <w:rFonts w:ascii="Cambria Math" w:eastAsia="楷体" w:hAnsi="Cambria Math"/>
              </w:rPr>
            </m:ctrlPr>
          </m:sSubPr>
          <m:e>
            <m:r>
              <w:rPr>
                <w:rFonts w:ascii="Cambria Math" w:eastAsia="楷体" w:hAnsi="Cambria Math"/>
              </w:rPr>
              <m:t>n</m:t>
            </m:r>
          </m:e>
          <m:sub>
            <m:r>
              <w:rPr>
                <w:rFonts w:ascii="Cambria Math" w:eastAsia="楷体" w:hAnsi="Cambria Math"/>
              </w:rPr>
              <m:t>it</m:t>
            </m:r>
          </m:sub>
        </m:sSub>
        <m:r>
          <m:rPr>
            <m:sty m:val="p"/>
          </m:rPr>
          <w:rPr>
            <w:rFonts w:ascii="Cambria Math" w:eastAsia="楷体" w:hAnsi="Cambria Math"/>
          </w:rPr>
          <m:t>=</m:t>
        </m:r>
        <m:f>
          <m:fPr>
            <m:ctrlPr>
              <w:rPr>
                <w:rFonts w:ascii="Cambria Math" w:eastAsia="楷体" w:hAnsi="Cambria Math"/>
              </w:rPr>
            </m:ctrlPr>
          </m:fPr>
          <m:num>
            <m:r>
              <w:rPr>
                <w:rFonts w:ascii="Cambria Math" w:eastAsia="楷体" w:hAnsi="Cambria Math"/>
              </w:rPr>
              <m:t>fina</m:t>
            </m:r>
            <m:sSub>
              <m:sSubPr>
                <m:ctrlPr>
                  <w:rPr>
                    <w:rFonts w:ascii="Cambria Math" w:eastAsia="楷体" w:hAnsi="Cambria Math"/>
                  </w:rPr>
                </m:ctrlPr>
              </m:sSubPr>
              <m:e>
                <m:r>
                  <w:rPr>
                    <w:rFonts w:ascii="Cambria Math" w:eastAsia="楷体" w:hAnsi="Cambria Math"/>
                  </w:rPr>
                  <m:t>n</m:t>
                </m:r>
              </m:e>
              <m:sub>
                <m:r>
                  <w:rPr>
                    <w:rFonts w:ascii="Cambria Math" w:eastAsia="楷体" w:hAnsi="Cambria Math"/>
                  </w:rPr>
                  <m:t>it</m:t>
                </m:r>
              </m:sub>
            </m:sSub>
            <m:r>
              <m:rPr>
                <m:sty m:val="p"/>
              </m:rPr>
              <w:rPr>
                <w:rFonts w:ascii="Cambria Math" w:eastAsia="楷体" w:hAnsi="Cambria Math"/>
              </w:rPr>
              <m:t>-</m:t>
            </m:r>
            <m:acc>
              <m:accPr>
                <m:chr m:val="̅"/>
                <m:ctrlPr>
                  <w:rPr>
                    <w:rFonts w:ascii="Cambria Math" w:eastAsia="楷体" w:hAnsi="Cambria Math"/>
                  </w:rPr>
                </m:ctrlPr>
              </m:accPr>
              <m:e>
                <m:r>
                  <w:rPr>
                    <w:rFonts w:ascii="Cambria Math" w:eastAsia="楷体" w:hAnsi="Cambria Math"/>
                  </w:rPr>
                  <m:t>fina</m:t>
                </m:r>
                <m:sSub>
                  <m:sSubPr>
                    <m:ctrlPr>
                      <w:rPr>
                        <w:rFonts w:ascii="Cambria Math" w:eastAsia="楷体" w:hAnsi="Cambria Math"/>
                      </w:rPr>
                    </m:ctrlPr>
                  </m:sSubPr>
                  <m:e>
                    <m:r>
                      <w:rPr>
                        <w:rFonts w:ascii="Cambria Math" w:eastAsia="楷体" w:hAnsi="Cambria Math"/>
                      </w:rPr>
                      <m:t>n</m:t>
                    </m:r>
                  </m:e>
                  <m:sub>
                    <m:r>
                      <w:rPr>
                        <w:rFonts w:ascii="Cambria Math" w:eastAsia="楷体" w:hAnsi="Cambria Math"/>
                      </w:rPr>
                      <m:t>ijt</m:t>
                    </m:r>
                  </m:sub>
                </m:sSub>
              </m:e>
            </m:acc>
          </m:num>
          <m:den>
            <m:acc>
              <m:accPr>
                <m:chr m:val="̅"/>
                <m:ctrlPr>
                  <w:rPr>
                    <w:rFonts w:ascii="Cambria Math" w:eastAsia="楷体" w:hAnsi="Cambria Math"/>
                  </w:rPr>
                </m:ctrlPr>
              </m:accPr>
              <m:e>
                <m:r>
                  <w:rPr>
                    <w:rFonts w:ascii="Cambria Math" w:eastAsia="楷体" w:hAnsi="Cambria Math"/>
                  </w:rPr>
                  <m:t>fina</m:t>
                </m:r>
                <m:sSub>
                  <m:sSubPr>
                    <m:ctrlPr>
                      <w:rPr>
                        <w:rFonts w:ascii="Cambria Math" w:eastAsia="楷体" w:hAnsi="Cambria Math"/>
                      </w:rPr>
                    </m:ctrlPr>
                  </m:sSubPr>
                  <m:e>
                    <m:r>
                      <w:rPr>
                        <w:rFonts w:ascii="Cambria Math" w:eastAsia="楷体" w:hAnsi="Cambria Math"/>
                      </w:rPr>
                      <m:t>n</m:t>
                    </m:r>
                  </m:e>
                  <m:sub>
                    <m:r>
                      <w:rPr>
                        <w:rFonts w:ascii="Cambria Math" w:eastAsia="楷体" w:hAnsi="Cambria Math"/>
                      </w:rPr>
                      <m:t>ijt</m:t>
                    </m:r>
                  </m:sub>
                </m:sSub>
              </m:e>
            </m:acc>
          </m:den>
        </m:f>
      </m:oMath>
      <w:r w:rsidRPr="00C608C2">
        <w:rPr>
          <w:rFonts w:ascii="Times New Roman" w:eastAsia="楷体" w:hAnsi="Times New Roman" w:hint="eastAsia"/>
        </w:rPr>
        <w:t>，其中，</w:t>
      </w:r>
      <m:oMath>
        <m:acc>
          <m:accPr>
            <m:chr m:val="̅"/>
            <m:ctrlPr>
              <w:rPr>
                <w:rFonts w:ascii="Cambria Math" w:eastAsia="楷体" w:hAnsi="Cambria Math"/>
              </w:rPr>
            </m:ctrlPr>
          </m:accPr>
          <m:e>
            <m:r>
              <w:rPr>
                <w:rFonts w:ascii="Cambria Math" w:eastAsia="楷体" w:hAnsi="Cambria Math"/>
              </w:rPr>
              <m:t>fina</m:t>
            </m:r>
            <m:sSub>
              <m:sSubPr>
                <m:ctrlPr>
                  <w:rPr>
                    <w:rFonts w:ascii="Cambria Math" w:eastAsia="楷体" w:hAnsi="Cambria Math"/>
                  </w:rPr>
                </m:ctrlPr>
              </m:sSubPr>
              <m:e>
                <m:r>
                  <w:rPr>
                    <w:rFonts w:ascii="Cambria Math" w:eastAsia="楷体" w:hAnsi="Cambria Math"/>
                  </w:rPr>
                  <m:t>n</m:t>
                </m:r>
              </m:e>
              <m:sub>
                <m:r>
                  <w:rPr>
                    <w:rFonts w:ascii="Cambria Math" w:eastAsia="楷体" w:hAnsi="Cambria Math"/>
                  </w:rPr>
                  <m:t>ijt</m:t>
                </m:r>
              </m:sub>
            </m:sSub>
          </m:e>
        </m:acc>
      </m:oMath>
      <w:r w:rsidRPr="00C608C2">
        <w:rPr>
          <w:rFonts w:ascii="Times New Roman" w:eastAsia="楷体" w:hAnsi="Times New Roman" w:hint="eastAsia"/>
        </w:rPr>
        <w:t>表示企业</w:t>
      </w:r>
      <m:oMath>
        <m:r>
          <w:rPr>
            <w:rFonts w:ascii="Cambria Math" w:eastAsia="楷体" w:hAnsi="Cambria Math"/>
          </w:rPr>
          <m:t>i</m:t>
        </m:r>
      </m:oMath>
      <w:r w:rsidRPr="00C608C2">
        <w:rPr>
          <w:rFonts w:ascii="Times New Roman" w:eastAsia="楷体" w:hAnsi="Times New Roman" w:hint="eastAsia"/>
        </w:rPr>
        <w:t>所属的行业</w:t>
      </w:r>
      <m:oMath>
        <m:r>
          <w:rPr>
            <w:rFonts w:ascii="Cambria Math" w:eastAsia="楷体" w:hAnsi="Cambria Math"/>
          </w:rPr>
          <m:t>j</m:t>
        </m:r>
      </m:oMath>
      <w:r w:rsidRPr="00C608C2">
        <w:rPr>
          <w:rFonts w:ascii="Times New Roman" w:eastAsia="楷体" w:hAnsi="Times New Roman" w:hint="eastAsia"/>
        </w:rPr>
        <w:t>在第</w:t>
      </w:r>
      <m:oMath>
        <m:r>
          <w:rPr>
            <w:rFonts w:ascii="Cambria Math" w:eastAsia="楷体" w:hAnsi="Cambria Math"/>
          </w:rPr>
          <m:t>t</m:t>
        </m:r>
      </m:oMath>
      <w:r w:rsidRPr="00C608C2">
        <w:rPr>
          <w:rFonts w:ascii="Times New Roman" w:eastAsia="楷体" w:hAnsi="Times New Roman" w:hint="eastAsia"/>
        </w:rPr>
        <w:t>年的金融化水平均值。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1436" w14:textId="77777777" w:rsidR="00B14B62" w:rsidRDefault="00B14B62">
    <w:pPr>
      <w:pStyle w:val="ae"/>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22E1" w14:textId="77777777" w:rsidR="00B14B62" w:rsidRDefault="00B14B62">
    <w:pPr>
      <w:pStyle w:val="ae"/>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84BC4" w14:textId="77777777" w:rsidR="00B14B62" w:rsidRDefault="00B14B62">
    <w:pPr>
      <w:pStyle w:val="ae"/>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16FEC"/>
    <w:multiLevelType w:val="hybridMultilevel"/>
    <w:tmpl w:val="153AAE5E"/>
    <w:lvl w:ilvl="0" w:tplc="0409000F">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16A7989"/>
    <w:multiLevelType w:val="hybridMultilevel"/>
    <w:tmpl w:val="7A244C7A"/>
    <w:lvl w:ilvl="0" w:tplc="A4B07EB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399700">
    <w:abstractNumId w:val="0"/>
  </w:num>
  <w:num w:numId="2" w16cid:durableId="1931960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Q2tTA1MjcwM7WwNLVQ0lEKTi0uzszPAykwrQUAseoGTSwAAAA="/>
  </w:docVars>
  <w:rsids>
    <w:rsidRoot w:val="0061409F"/>
    <w:rsid w:val="00125CB2"/>
    <w:rsid w:val="00133A48"/>
    <w:rsid w:val="0016394E"/>
    <w:rsid w:val="00164F37"/>
    <w:rsid w:val="001B47DC"/>
    <w:rsid w:val="002B54BF"/>
    <w:rsid w:val="002D439C"/>
    <w:rsid w:val="002E31A7"/>
    <w:rsid w:val="00393579"/>
    <w:rsid w:val="004168EA"/>
    <w:rsid w:val="00430950"/>
    <w:rsid w:val="00465368"/>
    <w:rsid w:val="006028AC"/>
    <w:rsid w:val="0061409F"/>
    <w:rsid w:val="006720E0"/>
    <w:rsid w:val="007C65A0"/>
    <w:rsid w:val="0083312F"/>
    <w:rsid w:val="00961079"/>
    <w:rsid w:val="00B14B62"/>
    <w:rsid w:val="00B21475"/>
    <w:rsid w:val="00C1614F"/>
    <w:rsid w:val="00C16B50"/>
    <w:rsid w:val="00C4079C"/>
    <w:rsid w:val="00C736EF"/>
    <w:rsid w:val="00CC7211"/>
    <w:rsid w:val="00DA199C"/>
    <w:rsid w:val="00E41B66"/>
    <w:rsid w:val="00E960EE"/>
    <w:rsid w:val="00EF2484"/>
    <w:rsid w:val="00FC2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86648"/>
  <w15:chartTrackingRefBased/>
  <w15:docId w15:val="{8F4E96E0-D556-4D7B-8A01-F28EF734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1409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1409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1409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1409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1409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61409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1409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1409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1409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1409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1409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1409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1409F"/>
    <w:rPr>
      <w:rFonts w:cstheme="majorBidi"/>
      <w:color w:val="2F5496" w:themeColor="accent1" w:themeShade="BF"/>
      <w:sz w:val="28"/>
      <w:szCs w:val="28"/>
    </w:rPr>
  </w:style>
  <w:style w:type="character" w:customStyle="1" w:styleId="50">
    <w:name w:val="标题 5 字符"/>
    <w:basedOn w:val="a0"/>
    <w:link w:val="5"/>
    <w:uiPriority w:val="9"/>
    <w:semiHidden/>
    <w:rsid w:val="0061409F"/>
    <w:rPr>
      <w:rFonts w:cstheme="majorBidi"/>
      <w:color w:val="2F5496" w:themeColor="accent1" w:themeShade="BF"/>
      <w:sz w:val="24"/>
    </w:rPr>
  </w:style>
  <w:style w:type="character" w:customStyle="1" w:styleId="60">
    <w:name w:val="标题 6 字符"/>
    <w:basedOn w:val="a0"/>
    <w:link w:val="6"/>
    <w:uiPriority w:val="9"/>
    <w:semiHidden/>
    <w:rsid w:val="0061409F"/>
    <w:rPr>
      <w:rFonts w:cstheme="majorBidi"/>
      <w:b/>
      <w:bCs/>
      <w:color w:val="2F5496" w:themeColor="accent1" w:themeShade="BF"/>
    </w:rPr>
  </w:style>
  <w:style w:type="character" w:customStyle="1" w:styleId="70">
    <w:name w:val="标题 7 字符"/>
    <w:basedOn w:val="a0"/>
    <w:link w:val="7"/>
    <w:uiPriority w:val="9"/>
    <w:semiHidden/>
    <w:rsid w:val="0061409F"/>
    <w:rPr>
      <w:rFonts w:cstheme="majorBidi"/>
      <w:b/>
      <w:bCs/>
      <w:color w:val="595959" w:themeColor="text1" w:themeTint="A6"/>
    </w:rPr>
  </w:style>
  <w:style w:type="character" w:customStyle="1" w:styleId="80">
    <w:name w:val="标题 8 字符"/>
    <w:basedOn w:val="a0"/>
    <w:link w:val="8"/>
    <w:uiPriority w:val="9"/>
    <w:semiHidden/>
    <w:rsid w:val="0061409F"/>
    <w:rPr>
      <w:rFonts w:cstheme="majorBidi"/>
      <w:color w:val="595959" w:themeColor="text1" w:themeTint="A6"/>
    </w:rPr>
  </w:style>
  <w:style w:type="character" w:customStyle="1" w:styleId="90">
    <w:name w:val="标题 9 字符"/>
    <w:basedOn w:val="a0"/>
    <w:link w:val="9"/>
    <w:uiPriority w:val="9"/>
    <w:semiHidden/>
    <w:rsid w:val="0061409F"/>
    <w:rPr>
      <w:rFonts w:eastAsiaTheme="majorEastAsia" w:cstheme="majorBidi"/>
      <w:color w:val="595959" w:themeColor="text1" w:themeTint="A6"/>
    </w:rPr>
  </w:style>
  <w:style w:type="paragraph" w:styleId="a3">
    <w:name w:val="Title"/>
    <w:basedOn w:val="a"/>
    <w:next w:val="a"/>
    <w:link w:val="a4"/>
    <w:uiPriority w:val="10"/>
    <w:qFormat/>
    <w:rsid w:val="006140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140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409F"/>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140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409F"/>
    <w:pPr>
      <w:spacing w:before="160" w:after="160"/>
      <w:jc w:val="center"/>
    </w:pPr>
    <w:rPr>
      <w:i/>
      <w:iCs/>
      <w:color w:val="404040" w:themeColor="text1" w:themeTint="BF"/>
    </w:rPr>
  </w:style>
  <w:style w:type="character" w:customStyle="1" w:styleId="a8">
    <w:name w:val="引用 字符"/>
    <w:basedOn w:val="a0"/>
    <w:link w:val="a7"/>
    <w:uiPriority w:val="29"/>
    <w:rsid w:val="0061409F"/>
    <w:rPr>
      <w:i/>
      <w:iCs/>
      <w:color w:val="404040" w:themeColor="text1" w:themeTint="BF"/>
    </w:rPr>
  </w:style>
  <w:style w:type="paragraph" w:styleId="a9">
    <w:name w:val="List Paragraph"/>
    <w:basedOn w:val="a"/>
    <w:uiPriority w:val="34"/>
    <w:qFormat/>
    <w:rsid w:val="0061409F"/>
    <w:pPr>
      <w:ind w:left="720"/>
      <w:contextualSpacing/>
    </w:pPr>
  </w:style>
  <w:style w:type="character" w:styleId="aa">
    <w:name w:val="Intense Emphasis"/>
    <w:basedOn w:val="a0"/>
    <w:uiPriority w:val="21"/>
    <w:qFormat/>
    <w:rsid w:val="0061409F"/>
    <w:rPr>
      <w:i/>
      <w:iCs/>
      <w:color w:val="2F5496" w:themeColor="accent1" w:themeShade="BF"/>
    </w:rPr>
  </w:style>
  <w:style w:type="paragraph" w:styleId="ab">
    <w:name w:val="Intense Quote"/>
    <w:basedOn w:val="a"/>
    <w:next w:val="a"/>
    <w:link w:val="ac"/>
    <w:uiPriority w:val="30"/>
    <w:qFormat/>
    <w:rsid w:val="006140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1409F"/>
    <w:rPr>
      <w:i/>
      <w:iCs/>
      <w:color w:val="2F5496" w:themeColor="accent1" w:themeShade="BF"/>
    </w:rPr>
  </w:style>
  <w:style w:type="character" w:styleId="ad">
    <w:name w:val="Intense Reference"/>
    <w:basedOn w:val="a0"/>
    <w:uiPriority w:val="32"/>
    <w:qFormat/>
    <w:rsid w:val="0061409F"/>
    <w:rPr>
      <w:b/>
      <w:bCs/>
      <w:smallCaps/>
      <w:color w:val="2F5496" w:themeColor="accent1" w:themeShade="BF"/>
      <w:spacing w:val="5"/>
    </w:rPr>
  </w:style>
  <w:style w:type="paragraph" w:styleId="ae">
    <w:name w:val="header"/>
    <w:basedOn w:val="a"/>
    <w:link w:val="af"/>
    <w:uiPriority w:val="99"/>
    <w:unhideWhenUsed/>
    <w:rsid w:val="00B14B62"/>
    <w:pPr>
      <w:tabs>
        <w:tab w:val="center" w:pos="4153"/>
        <w:tab w:val="right" w:pos="8306"/>
      </w:tabs>
      <w:snapToGrid w:val="0"/>
      <w:jc w:val="center"/>
    </w:pPr>
    <w:rPr>
      <w:sz w:val="18"/>
      <w:szCs w:val="18"/>
    </w:rPr>
  </w:style>
  <w:style w:type="character" w:customStyle="1" w:styleId="af">
    <w:name w:val="页眉 字符"/>
    <w:basedOn w:val="a0"/>
    <w:link w:val="ae"/>
    <w:uiPriority w:val="99"/>
    <w:rsid w:val="00B14B62"/>
    <w:rPr>
      <w:sz w:val="18"/>
      <w:szCs w:val="18"/>
    </w:rPr>
  </w:style>
  <w:style w:type="paragraph" w:styleId="af0">
    <w:name w:val="footer"/>
    <w:basedOn w:val="a"/>
    <w:link w:val="af1"/>
    <w:uiPriority w:val="99"/>
    <w:unhideWhenUsed/>
    <w:rsid w:val="00B14B62"/>
    <w:pPr>
      <w:tabs>
        <w:tab w:val="center" w:pos="4153"/>
        <w:tab w:val="right" w:pos="8306"/>
      </w:tabs>
      <w:snapToGrid w:val="0"/>
      <w:jc w:val="left"/>
    </w:pPr>
    <w:rPr>
      <w:sz w:val="18"/>
      <w:szCs w:val="18"/>
    </w:rPr>
  </w:style>
  <w:style w:type="character" w:customStyle="1" w:styleId="af1">
    <w:name w:val="页脚 字符"/>
    <w:basedOn w:val="a0"/>
    <w:link w:val="af0"/>
    <w:uiPriority w:val="99"/>
    <w:rsid w:val="00B14B62"/>
    <w:rPr>
      <w:sz w:val="18"/>
      <w:szCs w:val="18"/>
    </w:rPr>
  </w:style>
  <w:style w:type="paragraph" w:styleId="af2">
    <w:name w:val="footnote text"/>
    <w:basedOn w:val="a"/>
    <w:link w:val="af3"/>
    <w:uiPriority w:val="99"/>
    <w:unhideWhenUsed/>
    <w:rsid w:val="00B14B62"/>
    <w:pPr>
      <w:widowControl w:val="0"/>
      <w:snapToGrid w:val="0"/>
      <w:ind w:firstLineChars="0" w:firstLine="0"/>
      <w:jc w:val="left"/>
    </w:pPr>
    <w:rPr>
      <w:sz w:val="18"/>
      <w:szCs w:val="18"/>
      <w14:ligatures w14:val="none"/>
    </w:rPr>
  </w:style>
  <w:style w:type="character" w:customStyle="1" w:styleId="af3">
    <w:name w:val="脚注文本 字符"/>
    <w:basedOn w:val="a0"/>
    <w:link w:val="af2"/>
    <w:uiPriority w:val="99"/>
    <w:rsid w:val="00B14B62"/>
    <w:rPr>
      <w:sz w:val="18"/>
      <w:szCs w:val="18"/>
      <w14:ligatures w14:val="none"/>
    </w:rPr>
  </w:style>
  <w:style w:type="character" w:styleId="af4">
    <w:name w:val="footnote reference"/>
    <w:basedOn w:val="a0"/>
    <w:uiPriority w:val="99"/>
    <w:semiHidden/>
    <w:unhideWhenUsed/>
    <w:rsid w:val="00B14B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BF503-C0BC-45C3-AD25-AC9138C1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750</Words>
  <Characters>4280</Characters>
  <Application>Microsoft Office Word</Application>
  <DocSecurity>0</DocSecurity>
  <Lines>35</Lines>
  <Paragraphs>10</Paragraphs>
  <ScaleCrop>false</ScaleCrop>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重阳 过</dc:creator>
  <cp:keywords/>
  <dc:description/>
  <cp:lastModifiedBy>重阳 过</cp:lastModifiedBy>
  <cp:revision>18</cp:revision>
  <dcterms:created xsi:type="dcterms:W3CDTF">2026-07-24T09:22:00Z</dcterms:created>
  <dcterms:modified xsi:type="dcterms:W3CDTF">2026-07-26T02:47:00Z</dcterms:modified>
</cp:coreProperties>
</file>