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5DD31">
      <w:pPr>
        <w:shd w:val="clear"/>
        <w:outlineLvl w:val="0"/>
        <w:rPr>
          <w:rFonts w:ascii="Calibri" w:hAnsi="Calibri" w:eastAsia="宋体" w:cs="Times New Roman"/>
        </w:rPr>
      </w:pPr>
      <w:r>
        <w:rPr>
          <w:rFonts w:hint="eastAsia" w:ascii="Calibri" w:hAnsi="Calibri" w:eastAsia="宋体" w:cs="Times New Roman"/>
          <w:b/>
          <w:sz w:val="44"/>
          <w:szCs w:val="44"/>
        </w:rPr>
        <w:t>附 录</w:t>
      </w:r>
    </w:p>
    <w:p w14:paraId="41539264">
      <w:pPr>
        <w:widowControl/>
        <w:shd w:val="clear" w:color="auto"/>
        <w:jc w:val="center"/>
        <w:rPr>
          <w:rFonts w:ascii="仿宋" w:hAnsi="仿宋" w:eastAsia="仿宋" w:cs="Times New Roman"/>
          <w:b/>
          <w:kern w:val="0"/>
          <w:sz w:val="28"/>
          <w:szCs w:val="28"/>
        </w:rPr>
      </w:pPr>
      <w:r>
        <w:rPr>
          <w:rFonts w:hint="eastAsia" w:ascii="仿宋" w:hAnsi="仿宋" w:eastAsia="仿宋" w:cs="Times New Roman"/>
          <w:b/>
          <w:kern w:val="0"/>
          <w:sz w:val="28"/>
          <w:szCs w:val="28"/>
        </w:rPr>
        <w:t>正文未报告部分</w:t>
      </w:r>
    </w:p>
    <w:p w14:paraId="3E23EE41">
      <w:pPr>
        <w:widowControl/>
        <w:shd w:val="clear" w:color="auto"/>
        <w:jc w:val="center"/>
        <w:rPr>
          <w:rFonts w:hint="eastAsia" w:ascii="仿宋" w:hAnsi="仿宋" w:eastAsia="仿宋" w:cs="Times New Roman"/>
          <w:b/>
          <w:kern w:val="0"/>
          <w:sz w:val="28"/>
          <w:szCs w:val="28"/>
          <w:lang w:eastAsia="zh-CN"/>
        </w:rPr>
      </w:pPr>
      <w:r>
        <w:rPr>
          <w:rFonts w:hint="eastAsia" w:ascii="仿宋" w:hAnsi="仿宋" w:eastAsia="仿宋" w:cs="Times New Roman"/>
          <w:b/>
          <w:kern w:val="0"/>
          <w:sz w:val="28"/>
          <w:szCs w:val="28"/>
        </w:rPr>
        <w:t>附录1</w:t>
      </w:r>
      <w:r>
        <w:rPr>
          <w:rFonts w:ascii="仿宋" w:hAnsi="仿宋" w:eastAsia="仿宋" w:cs="Times New Roman"/>
          <w:b/>
          <w:kern w:val="0"/>
          <w:sz w:val="28"/>
          <w:szCs w:val="28"/>
        </w:rPr>
        <w:t xml:space="preserve"> </w:t>
      </w:r>
      <w:r>
        <w:rPr>
          <w:rFonts w:hint="eastAsia" w:ascii="仿宋" w:hAnsi="仿宋" w:eastAsia="仿宋" w:cs="Times New Roman"/>
          <w:b/>
          <w:kern w:val="0"/>
          <w:sz w:val="28"/>
          <w:szCs w:val="28"/>
        </w:rPr>
        <w:t xml:space="preserve"> 稳健性</w:t>
      </w:r>
      <w:r>
        <w:rPr>
          <w:rFonts w:hint="eastAsia" w:ascii="仿宋" w:hAnsi="仿宋" w:eastAsia="仿宋" w:cs="Times New Roman"/>
          <w:b/>
          <w:kern w:val="0"/>
          <w:sz w:val="28"/>
          <w:szCs w:val="28"/>
          <w:lang w:val="en-US" w:eastAsia="zh-CN"/>
        </w:rPr>
        <w:t>分析</w:t>
      </w:r>
    </w:p>
    <w:p w14:paraId="2B978812">
      <w:pPr>
        <w:spacing w:line="336" w:lineRule="exact"/>
        <w:ind w:firstLine="420" w:firstLineChars="200"/>
        <w:outlineLvl w:val="1"/>
        <w:rPr>
          <w:rFonts w:hint="default" w:ascii="黑体" w:hAnsi="黑体" w:eastAsia="黑体" w:cs="黑体"/>
          <w:bCs/>
          <w:lang w:val="en-US" w:eastAsia="zh-CN"/>
        </w:rPr>
      </w:pPr>
      <w:r>
        <w:rPr>
          <w:rFonts w:hint="eastAsia" w:ascii="黑体" w:hAnsi="黑体" w:eastAsia="黑体" w:cs="黑体"/>
          <w:szCs w:val="21"/>
          <w:lang w:bidi="ar"/>
        </w:rPr>
        <w:t>(一)</w:t>
      </w:r>
      <w:r>
        <w:rPr>
          <w:rFonts w:ascii="黑体" w:hAnsi="黑体" w:eastAsia="黑体" w:cs="黑体"/>
          <w:bCs/>
        </w:rPr>
        <w:t>稳健性分析</w:t>
      </w:r>
      <w:r>
        <w:rPr>
          <w:rFonts w:hint="eastAsia" w:ascii="黑体" w:hAnsi="黑体" w:eastAsia="黑体" w:cs="黑体"/>
          <w:bCs/>
          <w:lang w:eastAsia="zh-CN"/>
        </w:rPr>
        <w:t>——</w:t>
      </w:r>
      <w:r>
        <w:rPr>
          <w:rFonts w:hint="eastAsia" w:ascii="黑体" w:hAnsi="黑体" w:eastAsia="黑体" w:cs="黑体"/>
          <w:bCs/>
          <w:lang w:val="en-US" w:eastAsia="zh-CN"/>
        </w:rPr>
        <w:t>平行趋势检验与安慰剂检验</w:t>
      </w:r>
    </w:p>
    <w:p w14:paraId="6F4BEF0E">
      <w:pPr>
        <w:ind w:firstLine="420" w:firstLineChars="200"/>
        <w:outlineLvl w:val="2"/>
        <w:rPr>
          <w:rFonts w:hint="eastAsia" w:ascii="楷体" w:hAnsi="楷体" w:eastAsia="楷体" w:cs="楷体"/>
          <w:szCs w:val="22"/>
        </w:rPr>
      </w:pPr>
      <w:r>
        <w:rPr>
          <w:rFonts w:ascii="楷体" w:hAnsi="楷体" w:eastAsia="楷体" w:cs="楷体"/>
          <w:szCs w:val="22"/>
        </w:rPr>
        <w:t>1.平行趋势检验</w:t>
      </w:r>
    </w:p>
    <w:p w14:paraId="4F1EE817">
      <w:pPr>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我们采用事件分析法做出平行趋势检验</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设立以下模型</w:t>
      </w:r>
      <w:r>
        <w:rPr>
          <w:rFonts w:hint="eastAsia" w:ascii="Times New Roman" w:hAnsi="Times New Roman" w:cs="Times New Roman"/>
          <w:color w:val="000000" w:themeColor="text1"/>
          <w14:textFill>
            <w14:solidFill>
              <w14:schemeClr w14:val="tx1"/>
            </w14:solidFill>
          </w14:textFill>
        </w:rPr>
        <w:t>展开估计</w:t>
      </w:r>
      <w:r>
        <w:rPr>
          <w:rFonts w:ascii="Times New Roman" w:hAnsi="Times New Roman" w:cs="Times New Roman"/>
          <w:color w:val="000000" w:themeColor="text1"/>
          <w14:textFill>
            <w14:solidFill>
              <w14:schemeClr w14:val="tx1"/>
            </w14:solidFill>
          </w14:textFill>
        </w:rPr>
        <w:t>：</w:t>
      </w:r>
    </w:p>
    <w:p w14:paraId="6FBAABDF">
      <w:pPr>
        <w:ind w:firstLine="420"/>
        <w:jc w:val="right"/>
        <w:outlineLvl w:val="2"/>
        <w:rPr>
          <w:rFonts w:ascii="Times New Roman" w:hAnsi="Times New Roman" w:cs="Times New Roman"/>
          <w:color w:val="000000" w:themeColor="text1"/>
          <w14:textFill>
            <w14:solidFill>
              <w14:schemeClr w14:val="tx1"/>
            </w14:solidFill>
          </w14:textFill>
        </w:rPr>
      </w:pPr>
      <m:oMath>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Spillover</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it</m:t>
            </m:r>
            <m:ctrlPr>
              <w:rPr>
                <w:rFonts w:ascii="Cambria Math" w:hAnsi="Cambria Math" w:cs="Times New Roman"/>
                <w:i/>
                <w:color w:val="000000" w:themeColor="text1"/>
                <w14:textFill>
                  <w14:solidFill>
                    <w14:schemeClr w14:val="tx1"/>
                  </w14:solidFill>
                </w14:textFill>
              </w:rPr>
            </m:ctrlPr>
          </m:sub>
        </m:sSub>
        <m:r>
          <m:rPr/>
          <w:rPr>
            <w:rFonts w:ascii="Cambria Math" w:hAnsi="Cambria Math" w:cs="Times New Roman"/>
            <w:color w:val="000000" w:themeColor="text1"/>
            <w14:textFill>
              <w14:solidFill>
                <w14:schemeClr w14:val="tx1"/>
              </w14:solidFill>
            </w14:textFill>
          </w:rPr>
          <m:t>=</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ρ</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0</m:t>
            </m:r>
            <m:ctrlPr>
              <w:rPr>
                <w:rFonts w:ascii="Cambria Math" w:hAnsi="Cambria Math" w:cs="Times New Roman"/>
                <w:i/>
                <w:color w:val="000000" w:themeColor="text1"/>
                <w14:textFill>
                  <w14:solidFill>
                    <w14:schemeClr w14:val="tx1"/>
                  </w14:solidFill>
                </w14:textFill>
              </w:rPr>
            </m:ctrlPr>
          </m:sub>
        </m:sSub>
        <m:r>
          <m:rPr/>
          <w:rPr>
            <w:rFonts w:ascii="Cambria Math" w:hAnsi="Cambria Math" w:cs="Times New Roman"/>
            <w:color w:val="000000" w:themeColor="text1"/>
            <w14:textFill>
              <w14:solidFill>
                <w14:schemeClr w14:val="tx1"/>
              </w14:solidFill>
            </w14:textFill>
          </w:rPr>
          <m:t>+</m:t>
        </m:r>
        <m:nary>
          <m:naryPr>
            <m:chr m:val="∑"/>
            <m:limLoc m:val="undOvr"/>
            <m:ctrlPr>
              <w:rPr>
                <w:rFonts w:ascii="Cambria Math" w:hAnsi="Cambria Math" w:cs="Times New Roman"/>
                <w:i/>
                <w:color w:val="000000" w:themeColor="text1"/>
                <w14:textFill>
                  <w14:solidFill>
                    <w14:schemeClr w14:val="tx1"/>
                  </w14:solidFill>
                </w14:textFill>
              </w:rPr>
            </m:ctrlPr>
          </m:naryPr>
          <m:sub>
            <m:r>
              <m:rPr/>
              <w:rPr>
                <w:rFonts w:ascii="Cambria Math" w:hAnsi="Cambria Math" w:cs="Times New Roman"/>
                <w:color w:val="000000" w:themeColor="text1"/>
                <w14:textFill>
                  <w14:solidFill>
                    <w14:schemeClr w14:val="tx1"/>
                  </w14:solidFill>
                </w14:textFill>
              </w:rPr>
              <m:t>τ=−</m:t>
            </m:r>
            <m:r>
              <m:rPr/>
              <w:rPr>
                <w:rFonts w:hint="eastAsia" w:ascii="Cambria Math" w:hAnsi="Cambria Math" w:cs="Times New Roman"/>
                <w:color w:val="000000" w:themeColor="text1"/>
                <w14:textFill>
                  <w14:solidFill>
                    <w14:schemeClr w14:val="tx1"/>
                  </w14:solidFill>
                </w14:textFill>
              </w:rPr>
              <m:t>5</m:t>
            </m:r>
            <m:r>
              <m:rPr/>
              <w:rPr>
                <w:rFonts w:ascii="Cambria Math" w:hAnsi="Cambria Math" w:cs="Times New Roman"/>
                <w:color w:val="000000" w:themeColor="text1"/>
                <w14:textFill>
                  <w14:solidFill>
                    <w14:schemeClr w14:val="tx1"/>
                  </w14:solidFill>
                </w14:textFill>
              </w:rPr>
              <m:t>,τ≠−</m:t>
            </m:r>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color w:val="000000" w:themeColor="text1"/>
                <w14:textFill>
                  <w14:solidFill>
                    <w14:schemeClr w14:val="tx1"/>
                  </w14:solidFill>
                </w14:textFill>
              </w:rPr>
            </m:ctrlPr>
          </m:sub>
          <m:sup>
            <m:r>
              <m:rPr/>
              <w:rPr>
                <w:rFonts w:hint="eastAsia" w:ascii="Cambria Math" w:hAnsi="Cambria Math" w:cs="Times New Roman"/>
                <w:color w:val="000000" w:themeColor="text1"/>
                <w14:textFill>
                  <w14:solidFill>
                    <w14:schemeClr w14:val="tx1"/>
                  </w14:solidFill>
                </w14:textFill>
              </w:rPr>
              <m:t>5</m:t>
            </m:r>
            <m:ctrlPr>
              <w:rPr>
                <w:rFonts w:ascii="Cambria Math" w:hAnsi="Cambria Math" w:cs="Times New Roman"/>
                <w:i/>
                <w:color w:val="000000" w:themeColor="text1"/>
                <w14:textFill>
                  <w14:solidFill>
                    <w14:schemeClr w14:val="tx1"/>
                  </w14:solidFill>
                </w14:textFill>
              </w:rPr>
            </m:ctrlPr>
          </m:sup>
          <m:e>
            <m:sSubSup>
              <m:sSubSupPr>
                <m:ctrlPr>
                  <w:rPr>
                    <w:rFonts w:ascii="Cambria Math" w:hAnsi="Cambria Math" w:cs="Times New Roman"/>
                    <w:i/>
                    <w:color w:val="000000" w:themeColor="text1"/>
                    <w14:textFill>
                      <w14:solidFill>
                        <w14:schemeClr w14:val="tx1"/>
                      </w14:solidFill>
                    </w14:textFill>
                  </w:rPr>
                </m:ctrlPr>
              </m:sSubSupPr>
              <m:e>
                <m:r>
                  <m:rPr/>
                  <w:rPr>
                    <w:rFonts w:ascii="Cambria Math" w:hAnsi="Cambria Math" w:cs="Times New Roman"/>
                    <w:color w:val="000000" w:themeColor="text1"/>
                    <w14:textFill>
                      <w14:solidFill>
                        <w14:schemeClr w14:val="tx1"/>
                      </w14:solidFill>
                    </w14:textFill>
                  </w:rPr>
                  <m:t>ρ</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1</m:t>
                </m:r>
                <m:ctrlPr>
                  <w:rPr>
                    <w:rFonts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τ</m:t>
                </m:r>
                <m:ctrlPr>
                  <w:rPr>
                    <w:rFonts w:ascii="Cambria Math" w:hAnsi="Cambria Math" w:cs="Times New Roman"/>
                    <w:i/>
                    <w:color w:val="000000" w:themeColor="text1"/>
                    <w14:textFill>
                      <w14:solidFill>
                        <w14:schemeClr w14:val="tx1"/>
                      </w14:solidFill>
                    </w14:textFill>
                  </w:rPr>
                </m:ctrlPr>
              </m:sup>
            </m:sSubSup>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τ</m:t>
                </m:r>
                <m:ctrlPr>
                  <w:rPr>
                    <w:rFonts w:ascii="Cambria Math" w:hAnsi="Cambria Math" w:cs="Times New Roman"/>
                    <w:i/>
                    <w:color w:val="000000" w:themeColor="text1"/>
                    <w14:textFill>
                      <w14:solidFill>
                        <w14:schemeClr w14:val="tx1"/>
                      </w14:solidFill>
                    </w14:textFill>
                  </w:rPr>
                </m:ctrlPr>
              </m:sub>
            </m:sSub>
            <m:ctrlPr>
              <w:rPr>
                <w:rFonts w:ascii="Cambria Math" w:hAnsi="Cambria Math" w:cs="Times New Roman"/>
                <w:i/>
                <w:color w:val="000000" w:themeColor="text1"/>
                <w14:textFill>
                  <w14:solidFill>
                    <w14:schemeClr w14:val="tx1"/>
                  </w14:solidFill>
                </w14:textFill>
              </w:rPr>
            </m:ctrlPr>
          </m:e>
        </m:nary>
        <m:r>
          <m:rPr/>
          <w:rPr>
            <w:rFonts w:ascii="Cambria Math" w:hAnsi="Cambria Math" w:cs="Times New Roman"/>
            <w:color w:val="000000" w:themeColor="text1"/>
            <w14:textFill>
              <w14:solidFill>
                <w14:schemeClr w14:val="tx1"/>
              </w14:solidFill>
            </w14:textFill>
          </w:rPr>
          <m:t xml:space="preserve">+ρ </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X</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it</m:t>
            </m:r>
            <m:ctrlPr>
              <w:rPr>
                <w:rFonts w:ascii="Cambria Math" w:hAnsi="Cambria Math" w:cs="Times New Roman"/>
                <w:i/>
                <w:color w:val="000000" w:themeColor="text1"/>
                <w14:textFill>
                  <w14:solidFill>
                    <w14:schemeClr w14:val="tx1"/>
                  </w14:solidFill>
                </w14:textFill>
              </w:rPr>
            </m:ctrlPr>
          </m:sub>
        </m:sSub>
        <m:r>
          <m:rPr/>
          <w:rPr>
            <w:rFonts w:ascii="Cambria Math" w:hAnsi="Cambria Math" w:cs="Times New Roman"/>
            <w:color w:val="000000" w:themeColor="text1"/>
            <w14:textFill>
              <w14:solidFill>
                <w14:schemeClr w14:val="tx1"/>
              </w14:solidFill>
            </w14:textFill>
          </w:rPr>
          <m:t>+</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θ</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ascii="Cambria Math" w:hAnsi="Cambria Math" w:cs="Times New Roman"/>
                <w:i/>
                <w:color w:val="000000" w:themeColor="text1"/>
                <w14:textFill>
                  <w14:solidFill>
                    <w14:schemeClr w14:val="tx1"/>
                  </w14:solidFill>
                </w14:textFill>
              </w:rPr>
            </m:ctrlPr>
          </m:sub>
        </m:sSub>
        <m:r>
          <m:rPr/>
          <w:rPr>
            <w:rFonts w:ascii="Cambria Math" w:hAnsi="Cambria Math" w:cs="Times New Roman"/>
            <w:color w:val="000000" w:themeColor="text1"/>
            <w14:textFill>
              <w14:solidFill>
                <w14:schemeClr w14:val="tx1"/>
              </w14:solidFill>
            </w14:textFill>
          </w:rPr>
          <m:t>+</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γ</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t</m:t>
            </m:r>
            <m:ctrlPr>
              <w:rPr>
                <w:rFonts w:ascii="Cambria Math" w:hAnsi="Cambria Math" w:cs="Times New Roman"/>
                <w:i/>
                <w:color w:val="000000" w:themeColor="text1"/>
                <w14:textFill>
                  <w14:solidFill>
                    <w14:schemeClr w14:val="tx1"/>
                  </w14:solidFill>
                </w14:textFill>
              </w:rPr>
            </m:ctrlPr>
          </m:sub>
        </m:sSub>
        <m:r>
          <m:rPr/>
          <w:rPr>
            <w:rFonts w:ascii="Cambria Math" w:hAnsi="Cambria Math" w:cs="Times New Roman"/>
            <w:color w:val="000000" w:themeColor="text1"/>
            <w14:textFill>
              <w14:solidFill>
                <w14:schemeClr w14:val="tx1"/>
              </w14:solidFill>
            </w14:textFill>
          </w:rPr>
          <m:t>×City+Ind+</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ε</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it</m:t>
            </m:r>
            <m:ctrlPr>
              <w:rPr>
                <w:rFonts w:ascii="Cambria Math" w:hAnsi="Cambria Math" w:cs="Times New Roman"/>
                <w:i/>
                <w:color w:val="000000" w:themeColor="text1"/>
                <w14:textFill>
                  <w14:solidFill>
                    <w14:schemeClr w14:val="tx1"/>
                  </w14:solidFill>
                </w14:textFill>
              </w:rPr>
            </m:ctrlPr>
          </m:sub>
        </m:sSub>
      </m:oMath>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lang w:val="en-US" w:eastAsia="zh-CN"/>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p>
    <w:p w14:paraId="67606AF8">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其中，</w:t>
      </w:r>
      <m:oMath>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τ</m:t>
            </m:r>
            <m:ctrlPr>
              <w:rPr>
                <w:rFonts w:ascii="Cambria Math" w:hAnsi="Cambria Math" w:cs="Times New Roman"/>
                <w:i/>
                <w:color w:val="000000" w:themeColor="text1"/>
                <w14:textFill>
                  <w14:solidFill>
                    <w14:schemeClr w14:val="tx1"/>
                  </w14:solidFill>
                </w14:textFill>
              </w:rPr>
            </m:ctrlPr>
          </m:sub>
        </m:sSub>
      </m:oMath>
      <w:r>
        <w:rPr>
          <w:rFonts w:ascii="Times New Roman" w:hAnsi="Times New Roman" w:cs="Times New Roman"/>
          <w:color w:val="000000" w:themeColor="text1"/>
          <w14:textFill>
            <w14:solidFill>
              <w14:schemeClr w14:val="tx1"/>
            </w14:solidFill>
          </w14:textFill>
        </w:rPr>
        <w:t>是表征</w:t>
      </w:r>
      <w:r>
        <w:rPr>
          <w:rFonts w:hint="eastAsia" w:ascii="Times New Roman" w:hAnsi="Times New Roman" w:cs="Times New Roman"/>
          <w:color w:val="000000" w:themeColor="text1"/>
          <w14:textFill>
            <w14:solidFill>
              <w14:schemeClr w14:val="tx1"/>
            </w14:solidFill>
          </w14:textFill>
        </w:rPr>
        <w:t>区县距离</w:t>
      </w:r>
      <w:r>
        <w:rPr>
          <w:rFonts w:ascii="Times New Roman" w:hAnsi="Times New Roman" w:cs="Times New Roman"/>
          <w:color w:val="000000" w:themeColor="text1"/>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设立</w:t>
      </w:r>
      <w:r>
        <w:rPr>
          <w:rFonts w:ascii="Times New Roman" w:hAnsi="Times New Roman" w:cs="Times New Roman"/>
          <w:color w:val="000000" w:themeColor="text1"/>
          <w14:textFill>
            <w14:solidFill>
              <w14:schemeClr w14:val="tx1"/>
            </w14:solidFill>
          </w14:textFill>
        </w:rPr>
        <w:t>时点</w:t>
      </w:r>
      <m:oMath>
        <m:r>
          <m:rPr/>
          <w:rPr>
            <w:rFonts w:ascii="Cambria Math" w:hAnsi="Cambria Math" w:cs="Times New Roman"/>
            <w:color w:val="000000" w:themeColor="text1"/>
            <w14:textFill>
              <w14:solidFill>
                <w14:schemeClr w14:val="tx1"/>
              </w14:solidFill>
            </w14:textFill>
          </w:rPr>
          <m:t>τ</m:t>
        </m:r>
      </m:oMath>
      <w:r>
        <w:rPr>
          <w:rFonts w:ascii="Times New Roman" w:hAnsi="Times New Roman" w:cs="Times New Roman"/>
          <w:color w:val="000000" w:themeColor="text1"/>
          <w14:textFill>
            <w14:solidFill>
              <w14:schemeClr w14:val="tx1"/>
            </w14:solidFill>
          </w14:textFill>
        </w:rPr>
        <w:t>年的虚拟变量，</w:t>
      </w:r>
      <w:r>
        <w:rPr>
          <w:rFonts w:hint="eastAsia" w:ascii="Times New Roman" w:hAnsi="Times New Roman" w:cs="Times New Roman"/>
          <w:color w:val="000000" w:themeColor="text1"/>
          <w14:textFill>
            <w14:solidFill>
              <w14:schemeClr w14:val="tx1"/>
            </w14:solidFill>
          </w14:textFill>
        </w:rPr>
        <w:t>距离超出五年时统一归类为</w:t>
      </w:r>
      <m:oMath>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m:t>
            </m:r>
            <m:ctrlPr>
              <w:rPr>
                <w:rFonts w:ascii="Cambria Math" w:hAnsi="Cambria Math" w:cs="Times New Roman"/>
                <w:i/>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5</m:t>
            </m:r>
            <m:ctrlPr>
              <w:rPr>
                <w:rFonts w:ascii="Cambria Math" w:hAnsi="Cambria Math" w:cs="Times New Roman"/>
                <w:i/>
                <w:color w:val="000000" w:themeColor="text1"/>
                <w14:textFill>
                  <w14:solidFill>
                    <w14:schemeClr w14:val="tx1"/>
                  </w14:solidFill>
                </w14:textFill>
              </w:rPr>
            </m:ctrlPr>
          </m:sub>
        </m:sSub>
      </m:oMath>
      <w:r>
        <w:rPr>
          <w:rFonts w:hint="eastAsia" w:hAnsi="Cambria Math" w:cs="Times New Roman"/>
          <w:color w:val="000000" w:themeColor="text1"/>
          <w14:textFill>
            <w14:solidFill>
              <w14:schemeClr w14:val="tx1"/>
            </w14:solidFill>
          </w14:textFill>
        </w:rPr>
        <w:t>（或</w:t>
      </w:r>
      <m:oMath>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m:t>
            </m:r>
            <m:r>
              <m:rPr/>
              <w:rPr>
                <w:rFonts w:hint="eastAsia" w:ascii="Cambria Math" w:hAnsi="Cambria Math" w:cs="Times New Roman"/>
                <w:color w:val="000000" w:themeColor="text1"/>
                <w14:textFill>
                  <w14:solidFill>
                    <w14:schemeClr w14:val="tx1"/>
                  </w14:solidFill>
                </w14:textFill>
              </w:rPr>
              <m:t>5</m:t>
            </m:r>
            <m:ctrlPr>
              <w:rPr>
                <w:rFonts w:ascii="Cambria Math" w:hAnsi="Cambria Math" w:cs="Times New Roman"/>
                <w:i/>
                <w:color w:val="000000" w:themeColor="text1"/>
                <w14:textFill>
                  <w14:solidFill>
                    <w14:schemeClr w14:val="tx1"/>
                  </w14:solidFill>
                </w14:textFill>
              </w:rPr>
            </m:ctrlPr>
          </m:sub>
        </m:sSub>
      </m:oMath>
      <w:r>
        <w:rPr>
          <w:rFonts w:hint="eastAsia" w:hAnsi="Cambria Math" w:cs="Times New Roman"/>
          <w:color w:val="000000" w:themeColor="text1"/>
          <w14:textFill>
            <w14:solidFill>
              <w14:schemeClr w14:val="tx1"/>
            </w14:solidFill>
          </w14:textFill>
        </w:rPr>
        <w:t>），估计中以</w:t>
      </w:r>
      <m:oMath>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m:t>
            </m:r>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color w:val="000000" w:themeColor="text1"/>
                <w14:textFill>
                  <w14:solidFill>
                    <w14:schemeClr w14:val="tx1"/>
                  </w14:solidFill>
                </w14:textFill>
              </w:rPr>
            </m:ctrlPr>
          </m:sub>
        </m:sSub>
      </m:oMath>
      <w:r>
        <w:rPr>
          <w:rFonts w:hint="eastAsia" w:hAnsi="Cambria Math" w:cs="Times New Roman"/>
          <w:color w:val="000000" w:themeColor="text1"/>
          <w14:textFill>
            <w14:solidFill>
              <w14:schemeClr w14:val="tx1"/>
            </w14:solidFill>
          </w14:textFill>
        </w:rPr>
        <w:t>为对照年份，</w:t>
      </w:r>
      <w:r>
        <w:rPr>
          <w:rFonts w:ascii="Times New Roman" w:hAnsi="Times New Roman" w:cs="Times New Roman"/>
          <w:color w:val="000000" w:themeColor="text1"/>
          <w14:textFill>
            <w14:solidFill>
              <w14:schemeClr w14:val="tx1"/>
            </w14:solidFill>
          </w14:textFill>
        </w:rPr>
        <w:t>其余变量含义与前文保持一致。</w:t>
      </w:r>
      <w:r>
        <w:rPr>
          <w:rFonts w:hint="eastAsia" w:ascii="Times New Roman" w:hAnsi="Times New Roman" w:cs="Times New Roman"/>
          <w:color w:val="000000" w:themeColor="text1"/>
          <w:lang w:val="en-US" w:eastAsia="zh-CN"/>
          <w14:textFill>
            <w14:solidFill>
              <w14:schemeClr w14:val="tx1"/>
            </w14:solidFill>
          </w14:textFill>
        </w:rPr>
        <w:t>附</w:t>
      </w:r>
      <w:r>
        <w:rPr>
          <w:rFonts w:ascii="Times New Roman" w:hAnsi="Times New Roman" w:cs="Times New Roman"/>
          <w:color w:val="000000" w:themeColor="text1"/>
          <w14:textFill>
            <w14:solidFill>
              <w14:schemeClr w14:val="tx1"/>
            </w14:solidFill>
          </w14:textFill>
        </w:rPr>
        <w:t>图1</w:t>
      </w: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结果表明</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平行趋势假设成立</w:t>
      </w:r>
      <w:r>
        <w:rPr>
          <w:rFonts w:hint="eastAsia" w:ascii="Times New Roman" w:hAnsi="Times New Roman" w:cs="Times New Roman"/>
          <w:color w:val="000000" w:themeColor="text1"/>
          <w14:textFill>
            <w14:solidFill>
              <w14:schemeClr w14:val="tx1"/>
            </w14:solidFill>
          </w14:textFill>
        </w:rPr>
        <w:t>，高新区的知识溢出增益作用主要于</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设立后显现</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需要注意的是，-5期的估计系数偏小，可能是早期</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的创新条件配套不足所导致。为了缓解该数值差异可能造成的估计系数上升偏误，我们进一步使用2000年后才设立开发区的地区企业样本重复估计，所得</w:t>
      </w:r>
      <w:r>
        <w:rPr>
          <w:rFonts w:hint="eastAsia" w:ascii="Times New Roman" w:hAnsi="Times New Roman" w:cs="Times New Roman"/>
          <w:color w:val="000000" w:themeColor="text1"/>
          <w:lang w:val="en-US" w:eastAsia="zh-CN"/>
          <w14:textFill>
            <w14:solidFill>
              <w14:schemeClr w14:val="tx1"/>
            </w14:solidFill>
          </w14:textFill>
        </w:rPr>
        <w:t>附图1</w:t>
      </w:r>
      <w:r>
        <w:rPr>
          <w:rFonts w:hint="eastAsia" w:ascii="Times New Roman" w:hAnsi="Times New Roman" w:cs="Times New Roman"/>
          <w:color w:val="000000" w:themeColor="text1"/>
          <w14:textFill>
            <w14:solidFill>
              <w14:schemeClr w14:val="tx1"/>
            </w14:solidFill>
          </w14:textFill>
        </w:rPr>
        <w:t>（b）图结果仍然稳健。</w:t>
      </w:r>
    </w:p>
    <w:p w14:paraId="78F487BA">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考虑到高新区处理时间与处理效应的异质性（</w:t>
      </w:r>
      <w:r>
        <w:rPr>
          <w:rFonts w:hint="eastAsia" w:ascii="Times New Roman" w:hAnsi="Times New Roman" w:cs="Times New Roman"/>
          <w:color w:val="000000" w:themeColor="text1"/>
          <w:lang w:val="en-US" w:eastAsia="zh-CN"/>
          <w14:textFill>
            <w14:solidFill>
              <w14:schemeClr w14:val="tx1"/>
            </w14:solidFill>
          </w14:textFill>
        </w:rPr>
        <w:t>d</w:t>
      </w:r>
      <w:r>
        <w:rPr>
          <w:rFonts w:hint="eastAsia" w:ascii="Times New Roman" w:hAnsi="Times New Roman" w:cs="Times New Roman"/>
          <w:color w:val="000000" w:themeColor="text1"/>
          <w14:textFill>
            <w14:solidFill>
              <w14:schemeClr w14:val="tx1"/>
            </w14:solidFill>
          </w14:textFill>
        </w:rPr>
        <w:t>e Chaisemartin and D</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Haultfœuille，2020），我们可以基于Sun和Abraham（2021）设计的交互加权估计方法与Callaway和Sant</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Anna（2021）提出的平均处理效应估计方法做出异质性处理效应的稳健估计，所得</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图1（c）、（d）结果表明，平行趋势依然成立</w:t>
      </w:r>
      <w:r>
        <w:rPr>
          <w:rStyle w:val="5"/>
          <w:rFonts w:hint="eastAsia" w:ascii="Times New Roman" w:hAnsi="Times New Roman" w:cs="Times New Roman"/>
          <w:color w:val="000000" w:themeColor="text1"/>
          <w14:textFill>
            <w14:solidFill>
              <w14:schemeClr w14:val="tx1"/>
            </w14:solidFill>
          </w14:textFill>
        </w:rPr>
        <w:footnoteReference w:id="0"/>
      </w:r>
      <w:r>
        <w:rPr>
          <w:rFonts w:hint="eastAsia" w:ascii="Times New Roman" w:hAnsi="Times New Roman" w:cs="Times New Roman"/>
          <w:color w:val="000000" w:themeColor="text1"/>
          <w14:textFill>
            <w14:solidFill>
              <w14:schemeClr w14:val="tx1"/>
            </w14:solidFill>
          </w14:textFill>
        </w:rPr>
        <w:t>。</w:t>
      </w:r>
    </w:p>
    <w:p w14:paraId="5807F064">
      <w:pPr>
        <w:ind w:firstLine="420"/>
        <w:jc w:val="center"/>
        <w:rPr>
          <w:rFonts w:ascii="Times New Roman" w:hAnsi="Times New Roman" w:cs="Times New Roman"/>
          <w:color w:val="000000" w:themeColor="text1"/>
          <w14:textFill>
            <w14:solidFill>
              <w14:schemeClr w14:val="tx1"/>
            </w14:solidFill>
          </w14:textFill>
        </w:rPr>
      </w:pPr>
      <w:r>
        <w:rPr>
          <w:rFonts w:hint="eastAsia"/>
          <w:lang w:val="en-US" w:eastAsia="zh-CN"/>
        </w:rPr>
        <w:drawing>
          <wp:inline distT="0" distB="0" distL="114300" distR="114300">
            <wp:extent cx="3855085" cy="2747010"/>
            <wp:effectExtent l="0" t="0" r="0" b="0"/>
            <wp:docPr id="2" name="图片 2" descr="c11f1502-1656-4c12-9a70-18c6af00d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11f1502-1656-4c12-9a70-18c6af00d412"/>
                    <pic:cNvPicPr>
                      <a:picLocks noChangeAspect="1"/>
                    </pic:cNvPicPr>
                  </pic:nvPicPr>
                  <pic:blipFill>
                    <a:blip r:embed="rId5">
                      <a:clrChange>
                        <a:clrFrom>
                          <a:srgbClr val="EAF2F3">
                            <a:alpha val="100000"/>
                          </a:srgbClr>
                        </a:clrFrom>
                        <a:clrTo>
                          <a:srgbClr val="EAF2F3">
                            <a:alpha val="100000"/>
                            <a:alpha val="0"/>
                          </a:srgbClr>
                        </a:clrTo>
                      </a:clrChange>
                    </a:blip>
                    <a:srcRect l="917" t="1898" r="1073" b="1682"/>
                    <a:stretch>
                      <a:fillRect/>
                    </a:stretch>
                  </pic:blipFill>
                  <pic:spPr>
                    <a:xfrm>
                      <a:off x="0" y="0"/>
                      <a:ext cx="3855085" cy="2747010"/>
                    </a:xfrm>
                    <a:prstGeom prst="rect">
                      <a:avLst/>
                    </a:prstGeom>
                  </pic:spPr>
                </pic:pic>
              </a:graphicData>
            </a:graphic>
          </wp:inline>
        </w:drawing>
      </w:r>
    </w:p>
    <w:p w14:paraId="439E160D">
      <w:pPr>
        <w:ind w:firstLine="360" w:firstLineChars="200"/>
        <w:jc w:val="left"/>
        <w:rPr>
          <w:rFonts w:ascii="Times New Roman" w:hAnsi="Times New Roman" w:eastAsia="黑体" w:cs="Times New Roman"/>
          <w:color w:val="000000" w:themeColor="text1"/>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Times New Roman" w:hAnsi="Times New Roman" w:eastAsia="楷体" w:cs="Times New Roman"/>
          <w:color w:val="000000" w:themeColor="text1"/>
          <w:sz w:val="18"/>
          <w:szCs w:val="18"/>
          <w14:textFill>
            <w14:solidFill>
              <w14:schemeClr w14:val="tx1"/>
            </w14:solidFill>
          </w14:textFill>
        </w:rPr>
        <w:t>图中</w:t>
      </w:r>
      <w:r>
        <w:rPr>
          <w:rFonts w:ascii="Times New Roman" w:hAnsi="Times New Roman" w:eastAsia="楷体" w:cs="Times New Roman"/>
          <w:color w:val="000000" w:themeColor="text1"/>
          <w:sz w:val="18"/>
          <w:szCs w:val="18"/>
          <w14:textFill>
            <w14:solidFill>
              <w14:schemeClr w14:val="tx1"/>
            </w14:solidFill>
          </w14:textFill>
        </w:rPr>
        <w:t>线段代表9</w:t>
      </w:r>
      <w:r>
        <w:rPr>
          <w:rFonts w:hint="eastAsia" w:ascii="Times New Roman" w:hAnsi="Times New Roman" w:eastAsia="楷体" w:cs="Times New Roman"/>
          <w:color w:val="000000" w:themeColor="text1"/>
          <w:sz w:val="18"/>
          <w:szCs w:val="18"/>
          <w14:textFill>
            <w14:solidFill>
              <w14:schemeClr w14:val="tx1"/>
            </w14:solidFill>
          </w14:textFill>
        </w:rPr>
        <w:t>5</w:t>
      </w:r>
      <w:r>
        <w:rPr>
          <w:rFonts w:ascii="Times New Roman" w:hAnsi="Times New Roman" w:eastAsia="楷体" w:cs="Times New Roman"/>
          <w:color w:val="000000" w:themeColor="text1"/>
          <w:sz w:val="18"/>
          <w:szCs w:val="18"/>
          <w14:textFill>
            <w14:solidFill>
              <w14:schemeClr w14:val="tx1"/>
            </w14:solidFill>
          </w14:textFill>
        </w:rPr>
        <w:t>%置信区间。</w:t>
      </w:r>
      <w:r>
        <w:rPr>
          <w:rFonts w:hint="eastAsia" w:ascii="Times New Roman" w:hAnsi="Times New Roman" w:eastAsia="楷体" w:cs="Times New Roman"/>
          <w:color w:val="000000" w:themeColor="text1"/>
          <w:sz w:val="18"/>
          <w:szCs w:val="18"/>
          <w14:textFill>
            <w14:solidFill>
              <w14:schemeClr w14:val="tx1"/>
            </w14:solidFill>
          </w14:textFill>
        </w:rPr>
        <w:t>（a）、（b）、（c）、（d）依次为事件分析法、基于子样本的事件分析法、Sun和Abraham（2021）方法与Callaway和Sant</w:t>
      </w: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Anna（2021）方法所得估计结果。</w:t>
      </w:r>
    </w:p>
    <w:p w14:paraId="22C0D5E1">
      <w:pPr>
        <w:jc w:val="center"/>
        <w:outlineLvl w:val="2"/>
        <w:rPr>
          <w:rFonts w:ascii="Times New Roman" w:hAnsi="Times New Roman" w:eastAsia="黑体" w:cs="Times New Roman"/>
          <w:color w:val="000000" w:themeColor="text1"/>
          <w14:textFill>
            <w14:solidFill>
              <w14:schemeClr w14:val="tx1"/>
            </w14:solidFill>
          </w14:textFill>
        </w:rPr>
      </w:pPr>
      <w:r>
        <w:rPr>
          <w:rFonts w:hint="eastAsia" w:ascii="Times New Roman" w:hAnsi="Times New Roman" w:eastAsia="黑体" w:cs="Times New Roman"/>
          <w:color w:val="000000" w:themeColor="text1"/>
          <w:szCs w:val="18"/>
          <w:lang w:val="en-US" w:eastAsia="zh-CN"/>
          <w14:textFill>
            <w14:solidFill>
              <w14:schemeClr w14:val="tx1"/>
            </w14:solidFill>
          </w14:textFill>
        </w:rPr>
        <w:t>附</w:t>
      </w:r>
      <w:r>
        <w:rPr>
          <w:rFonts w:ascii="Times New Roman" w:hAnsi="Times New Roman" w:eastAsia="黑体" w:cs="Times New Roman"/>
          <w:color w:val="000000" w:themeColor="text1"/>
          <w:szCs w:val="18"/>
          <w14:textFill>
            <w14:solidFill>
              <w14:schemeClr w14:val="tx1"/>
            </w14:solidFill>
          </w14:textFill>
        </w:rPr>
        <w:t>图</w:t>
      </w:r>
      <w:r>
        <w:rPr>
          <w:rFonts w:ascii="Times New Roman" w:hAnsi="Times New Roman" w:eastAsia="黑体" w:cs="Times New Roman"/>
          <w:b/>
          <w:bCs/>
          <w:color w:val="000000" w:themeColor="text1"/>
          <w:szCs w:val="18"/>
          <w14:textFill>
            <w14:solidFill>
              <w14:schemeClr w14:val="tx1"/>
            </w14:solidFill>
          </w14:textFill>
        </w:rPr>
        <w:t>1</w:t>
      </w:r>
      <w:r>
        <w:rPr>
          <w:rFonts w:ascii="Times New Roman" w:hAnsi="Times New Roman" w:eastAsia="黑体" w:cs="Times New Roman"/>
          <w:color w:val="000000" w:themeColor="text1"/>
          <w:szCs w:val="18"/>
          <w14:textFill>
            <w14:solidFill>
              <w14:schemeClr w14:val="tx1"/>
            </w14:solidFill>
          </w14:textFill>
        </w:rPr>
        <w:t xml:space="preserve"> 平行趋势检验</w:t>
      </w:r>
      <w:r>
        <w:rPr>
          <w:rFonts w:hint="eastAsia" w:ascii="Times New Roman" w:hAnsi="Times New Roman" w:eastAsia="黑体" w:cs="Times New Roman"/>
          <w:color w:val="000000" w:themeColor="text1"/>
          <w:szCs w:val="18"/>
          <w14:textFill>
            <w14:solidFill>
              <w14:schemeClr w14:val="tx1"/>
            </w14:solidFill>
          </w14:textFill>
        </w:rPr>
        <w:t>结果</w:t>
      </w:r>
    </w:p>
    <w:p w14:paraId="5AD9D474">
      <w:pPr>
        <w:ind w:firstLine="420"/>
        <w:rPr>
          <w:rFonts w:ascii="Times New Roman" w:hAnsi="Times New Roman" w:cs="Times New Roman"/>
          <w:color w:val="000000" w:themeColor="text1"/>
          <w14:textFill>
            <w14:solidFill>
              <w14:schemeClr w14:val="tx1"/>
            </w14:solidFill>
          </w14:textFill>
        </w:rPr>
      </w:pPr>
    </w:p>
    <w:p w14:paraId="71B85D6C">
      <w:pPr>
        <w:ind w:firstLine="420" w:firstLineChars="200"/>
        <w:outlineLvl w:val="2"/>
        <w:rPr>
          <w:rFonts w:hint="eastAsia" w:ascii="楷体" w:hAnsi="楷体" w:eastAsia="楷体" w:cs="楷体"/>
          <w:szCs w:val="22"/>
        </w:rPr>
      </w:pPr>
      <w:r>
        <w:rPr>
          <w:rFonts w:ascii="楷体" w:hAnsi="楷体" w:eastAsia="楷体" w:cs="楷体"/>
          <w:szCs w:val="22"/>
        </w:rPr>
        <w:t>2.安慰剂检验</w:t>
      </w:r>
    </w:p>
    <w:p w14:paraId="48E4FF08">
      <w:pPr>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为了排除遗漏变量的干扰，我们参考孙龙等（2023）的做法，通过随机分配设立高新区的</w:t>
      </w:r>
      <w:r>
        <w:rPr>
          <w:rFonts w:hint="eastAsia" w:ascii="Times New Roman" w:hAnsi="Times New Roman" w:cs="Times New Roman"/>
          <w:color w:val="000000" w:themeColor="text1"/>
          <w14:textFill>
            <w14:solidFill>
              <w14:schemeClr w14:val="tx1"/>
            </w14:solidFill>
          </w14:textFill>
        </w:rPr>
        <w:t>时间与</w:t>
      </w:r>
      <w:r>
        <w:rPr>
          <w:rFonts w:ascii="Times New Roman" w:hAnsi="Times New Roman" w:cs="Times New Roman"/>
          <w:color w:val="000000" w:themeColor="text1"/>
          <w14:textFill>
            <w14:solidFill>
              <w14:schemeClr w14:val="tx1"/>
            </w14:solidFill>
          </w14:textFill>
        </w:rPr>
        <w:t>地点做出安慰剂检验。基于基准模型，我们对虚假</w:t>
      </w:r>
      <w:r>
        <w:rPr>
          <w:rFonts w:hint="eastAsia" w:ascii="Times New Roman" w:hAnsi="Times New Roman" w:cs="Times New Roman"/>
          <w:color w:val="000000" w:themeColor="text1"/>
          <w14:textFill>
            <w14:solidFill>
              <w14:schemeClr w14:val="tx1"/>
            </w14:solidFill>
          </w14:textFill>
        </w:rPr>
        <w:t>核心解释变量</w:t>
      </w:r>
      <w:r>
        <w:rPr>
          <w:rFonts w:ascii="Times New Roman" w:hAnsi="Times New Roman" w:cs="Times New Roman"/>
          <w:color w:val="000000" w:themeColor="text1"/>
          <w14:textFill>
            <w14:solidFill>
              <w14:schemeClr w14:val="tx1"/>
            </w14:solidFill>
          </w14:textFill>
        </w:rPr>
        <w:t>做出250次重复抽样回归。</w:t>
      </w:r>
      <w:r>
        <w:rPr>
          <w:rFonts w:hint="eastAsia" w:ascii="Times New Roman" w:hAnsi="Times New Roman" w:cs="Times New Roman"/>
          <w:color w:val="000000" w:themeColor="text1"/>
          <w:lang w:val="en-US" w:eastAsia="zh-CN"/>
          <w14:textFill>
            <w14:solidFill>
              <w14:schemeClr w14:val="tx1"/>
            </w14:solidFill>
          </w14:textFill>
        </w:rPr>
        <w:t>附</w:t>
      </w:r>
      <w:r>
        <w:rPr>
          <w:rFonts w:ascii="Times New Roman" w:hAnsi="Times New Roman" w:cs="Times New Roman"/>
          <w:color w:val="000000" w:themeColor="text1"/>
          <w14:textFill>
            <w14:solidFill>
              <w14:schemeClr w14:val="tx1"/>
            </w14:solidFill>
          </w14:textFill>
        </w:rPr>
        <w:t>图2汇报了</w:t>
      </w:r>
      <w:r>
        <w:rPr>
          <w:rFonts w:hint="eastAsia" w:ascii="Times New Roman" w:hAnsi="Times New Roman" w:cs="Times New Roman"/>
          <w:color w:val="000000" w:themeColor="text1"/>
          <w14:textFill>
            <w14:solidFill>
              <w14:schemeClr w14:val="tx1"/>
            </w14:solidFill>
          </w14:textFill>
        </w:rPr>
        <w:t>相应</w:t>
      </w:r>
      <w:r>
        <w:rPr>
          <w:rFonts w:ascii="Times New Roman" w:hAnsi="Times New Roman" w:cs="Times New Roman"/>
          <w:color w:val="000000" w:themeColor="text1"/>
          <w14:textFill>
            <w14:solidFill>
              <w14:schemeClr w14:val="tx1"/>
            </w14:solidFill>
          </w14:textFill>
        </w:rPr>
        <w:t>估计系数</w:t>
      </w:r>
      <w:r>
        <w:rPr>
          <w:rFonts w:hint="eastAsia" w:ascii="Times New Roman" w:hAnsi="Times New Roman" w:cs="Times New Roman"/>
          <w:color w:val="000000" w:themeColor="text1"/>
          <w14:textFill>
            <w14:solidFill>
              <w14:schemeClr w14:val="tx1"/>
            </w14:solidFill>
          </w14:textFill>
        </w:rPr>
        <w:t>的密度</w:t>
      </w:r>
      <w:r>
        <w:rPr>
          <w:rFonts w:ascii="Times New Roman" w:hAnsi="Times New Roman" w:cs="Times New Roman"/>
          <w:color w:val="000000" w:themeColor="text1"/>
          <w14:textFill>
            <w14:solidFill>
              <w14:schemeClr w14:val="tx1"/>
            </w14:solidFill>
          </w14:textFill>
        </w:rPr>
        <w:t>分布</w:t>
      </w:r>
      <w:r>
        <w:rPr>
          <w:rFonts w:hint="eastAsia" w:ascii="Times New Roman" w:hAnsi="Times New Roman" w:cs="Times New Roman"/>
          <w:color w:val="000000" w:themeColor="text1"/>
          <w14:textFill>
            <w14:solidFill>
              <w14:schemeClr w14:val="tx1"/>
            </w14:solidFill>
          </w14:textFill>
        </w:rPr>
        <w:t>图</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所得</w:t>
      </w:r>
      <w:r>
        <w:rPr>
          <w:rFonts w:ascii="Times New Roman" w:hAnsi="Times New Roman" w:cs="Times New Roman"/>
          <w:color w:val="000000" w:themeColor="text1"/>
          <w14:textFill>
            <w14:solidFill>
              <w14:schemeClr w14:val="tx1"/>
            </w14:solidFill>
          </w14:textFill>
        </w:rPr>
        <w:t>估计系数分布在0附近，</w:t>
      </w:r>
      <w:r>
        <w:rPr>
          <w:rFonts w:hint="eastAsia" w:ascii="Times New Roman" w:hAnsi="Times New Roman" w:cs="Times New Roman"/>
          <w:color w:val="000000" w:themeColor="text1"/>
          <w14:textFill>
            <w14:solidFill>
              <w14:schemeClr w14:val="tx1"/>
            </w14:solidFill>
          </w14:textFill>
        </w:rPr>
        <w:t>均值为0.000025，</w:t>
      </w:r>
      <w:r>
        <w:rPr>
          <w:rFonts w:ascii="Times New Roman" w:hAnsi="Times New Roman" w:cs="Times New Roman"/>
          <w:color w:val="000000" w:themeColor="text1"/>
          <w14:textFill>
            <w14:solidFill>
              <w14:schemeClr w14:val="tx1"/>
            </w14:solidFill>
          </w14:textFill>
        </w:rPr>
        <w:t>远小于上文的估计</w:t>
      </w:r>
      <w:r>
        <w:rPr>
          <w:rFonts w:hint="eastAsia" w:ascii="Times New Roman" w:hAnsi="Times New Roman" w:cs="Times New Roman"/>
          <w:color w:val="000000" w:themeColor="text1"/>
          <w14:textFill>
            <w14:solidFill>
              <w14:schemeClr w14:val="tx1"/>
            </w14:solidFill>
          </w14:textFill>
        </w:rPr>
        <w:t>值</w:t>
      </w:r>
      <w:r>
        <w:rPr>
          <w:rFonts w:ascii="Times New Roman" w:hAnsi="Times New Roman" w:cs="Times New Roman"/>
          <w:color w:val="000000" w:themeColor="text1"/>
          <w14:textFill>
            <w14:solidFill>
              <w14:schemeClr w14:val="tx1"/>
            </w14:solidFill>
          </w14:textFill>
        </w:rPr>
        <w:t>（0.</w:t>
      </w:r>
      <w:r>
        <w:rPr>
          <w:rFonts w:hint="eastAsia" w:ascii="Times New Roman" w:hAnsi="Times New Roman" w:cs="Times New Roman"/>
          <w:color w:val="000000" w:themeColor="text1"/>
          <w14:textFill>
            <w14:solidFill>
              <w14:schemeClr w14:val="tx1"/>
            </w14:solidFill>
          </w14:textFill>
        </w:rPr>
        <w:t>084</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总的来说，安慰剂检验未发现潜在遗漏变量</w:t>
      </w:r>
      <w:r>
        <w:rPr>
          <w:rFonts w:ascii="Times New Roman" w:hAnsi="Times New Roman" w:cs="Times New Roman"/>
          <w:color w:val="000000" w:themeColor="text1"/>
          <w14:textFill>
            <w14:solidFill>
              <w14:schemeClr w14:val="tx1"/>
            </w14:solidFill>
          </w14:textFill>
        </w:rPr>
        <w:t>对</w:t>
      </w:r>
      <w:r>
        <w:rPr>
          <w:rFonts w:hint="eastAsia" w:ascii="Times New Roman" w:hAnsi="Times New Roman" w:cs="Times New Roman"/>
          <w:color w:val="000000" w:themeColor="text1"/>
          <w14:textFill>
            <w14:solidFill>
              <w14:schemeClr w14:val="tx1"/>
            </w14:solidFill>
          </w14:textFill>
        </w:rPr>
        <w:t>前文</w:t>
      </w:r>
      <w:r>
        <w:rPr>
          <w:rFonts w:ascii="Times New Roman" w:hAnsi="Times New Roman" w:cs="Times New Roman"/>
          <w:color w:val="000000" w:themeColor="text1"/>
          <w14:textFill>
            <w14:solidFill>
              <w14:schemeClr w14:val="tx1"/>
            </w14:solidFill>
          </w14:textFill>
        </w:rPr>
        <w:t>结果产生</w:t>
      </w:r>
      <w:r>
        <w:rPr>
          <w:rFonts w:hint="eastAsia" w:ascii="Times New Roman" w:hAnsi="Times New Roman" w:cs="Times New Roman"/>
          <w:color w:val="000000" w:themeColor="text1"/>
          <w14:textFill>
            <w14:solidFill>
              <w14:schemeClr w14:val="tx1"/>
            </w14:solidFill>
          </w14:textFill>
        </w:rPr>
        <w:t>显著</w:t>
      </w:r>
      <w:r>
        <w:rPr>
          <w:rFonts w:ascii="Times New Roman" w:hAnsi="Times New Roman" w:cs="Times New Roman"/>
          <w:color w:val="000000" w:themeColor="text1"/>
          <w14:textFill>
            <w14:solidFill>
              <w14:schemeClr w14:val="tx1"/>
            </w14:solidFill>
          </w14:textFill>
        </w:rPr>
        <w:t>影响，原结论稳健。</w:t>
      </w:r>
    </w:p>
    <w:p w14:paraId="1418A70E">
      <w:pPr>
        <w:ind w:firstLine="420"/>
        <w:rPr>
          <w:rFonts w:ascii="Times New Roman" w:hAnsi="Times New Roman" w:cs="Times New Roman"/>
          <w:color w:val="000000" w:themeColor="text1"/>
          <w14:textFill>
            <w14:solidFill>
              <w14:schemeClr w14:val="tx1"/>
            </w14:solidFill>
          </w14:textFill>
        </w:rPr>
      </w:pPr>
    </w:p>
    <w:p w14:paraId="10CD9310">
      <w:pPr>
        <w:jc w:val="center"/>
        <w:rPr>
          <w:rFonts w:hint="eastAsia"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drawing>
          <wp:inline distT="0" distB="0" distL="114300" distR="114300">
            <wp:extent cx="4089400" cy="2991485"/>
            <wp:effectExtent l="0" t="0" r="0" b="5715"/>
            <wp:docPr id="1" name="图片 1" descr="fe0a8de2-d755-4928-ada4-4f403b8873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e0a8de2-d755-4928-ada4-4f403b88737d"/>
                    <pic:cNvPicPr>
                      <a:picLocks noChangeAspect="1"/>
                    </pic:cNvPicPr>
                  </pic:nvPicPr>
                  <pic:blipFill>
                    <a:blip r:embed="rId6"/>
                    <a:stretch>
                      <a:fillRect/>
                    </a:stretch>
                  </pic:blipFill>
                  <pic:spPr>
                    <a:xfrm>
                      <a:off x="0" y="0"/>
                      <a:ext cx="4089400" cy="2991485"/>
                    </a:xfrm>
                    <a:prstGeom prst="rect">
                      <a:avLst/>
                    </a:prstGeom>
                  </pic:spPr>
                </pic:pic>
              </a:graphicData>
            </a:graphic>
          </wp:inline>
        </w:drawing>
      </w:r>
    </w:p>
    <w:p w14:paraId="53CE8ACF">
      <w:pPr>
        <w:jc w:val="center"/>
        <w:outlineLvl w:val="2"/>
        <w:rPr>
          <w:rFonts w:ascii="Times New Roman" w:hAnsi="Times New Roman" w:cs="Times New Roman"/>
          <w:color w:val="000000" w:themeColor="text1"/>
          <w14:textFill>
            <w14:solidFill>
              <w14:schemeClr w14:val="tx1"/>
            </w14:solidFill>
          </w14:textFill>
        </w:rPr>
      </w:pPr>
      <w:r>
        <w:rPr>
          <w:rFonts w:hint="eastAsia" w:ascii="Times New Roman" w:hAnsi="Times New Roman" w:eastAsia="黑体" w:cs="Times New Roman"/>
          <w:color w:val="000000" w:themeColor="text1"/>
          <w:szCs w:val="18"/>
          <w:lang w:val="en-US" w:eastAsia="zh-CN"/>
          <w14:textFill>
            <w14:solidFill>
              <w14:schemeClr w14:val="tx1"/>
            </w14:solidFill>
          </w14:textFill>
        </w:rPr>
        <w:t>附</w:t>
      </w:r>
      <w:r>
        <w:rPr>
          <w:rFonts w:ascii="Times New Roman" w:hAnsi="Times New Roman" w:eastAsia="黑体" w:cs="Times New Roman"/>
          <w:color w:val="000000" w:themeColor="text1"/>
          <w:szCs w:val="18"/>
          <w14:textFill>
            <w14:solidFill>
              <w14:schemeClr w14:val="tx1"/>
            </w14:solidFill>
          </w14:textFill>
        </w:rPr>
        <w:t>图</w:t>
      </w:r>
      <w:r>
        <w:rPr>
          <w:rFonts w:hint="eastAsia" w:ascii="Times New Roman" w:hAnsi="Times New Roman" w:eastAsia="黑体" w:cs="Times New Roman"/>
          <w:b/>
          <w:bCs/>
          <w:color w:val="000000" w:themeColor="text1"/>
          <w:szCs w:val="18"/>
          <w14:textFill>
            <w14:solidFill>
              <w14:schemeClr w14:val="tx1"/>
            </w14:solidFill>
          </w14:textFill>
        </w:rPr>
        <w:t>2</w:t>
      </w:r>
      <w:r>
        <w:rPr>
          <w:rFonts w:ascii="Times New Roman" w:hAnsi="Times New Roman" w:eastAsia="黑体" w:cs="Times New Roman"/>
          <w:color w:val="000000" w:themeColor="text1"/>
          <w:szCs w:val="18"/>
          <w14:textFill>
            <w14:solidFill>
              <w14:schemeClr w14:val="tx1"/>
            </w14:solidFill>
          </w14:textFill>
        </w:rPr>
        <w:t xml:space="preserve"> </w:t>
      </w:r>
      <w:r>
        <w:rPr>
          <w:rFonts w:hint="eastAsia" w:ascii="Times New Roman" w:hAnsi="Times New Roman" w:eastAsia="黑体" w:cs="Times New Roman"/>
          <w:color w:val="000000" w:themeColor="text1"/>
          <w:szCs w:val="18"/>
          <w14:textFill>
            <w14:solidFill>
              <w14:schemeClr w14:val="tx1"/>
            </w14:solidFill>
          </w14:textFill>
        </w:rPr>
        <w:t>安慰剂</w:t>
      </w:r>
      <w:r>
        <w:rPr>
          <w:rFonts w:ascii="Times New Roman" w:hAnsi="Times New Roman" w:eastAsia="黑体" w:cs="Times New Roman"/>
          <w:color w:val="000000" w:themeColor="text1"/>
          <w:szCs w:val="18"/>
          <w14:textFill>
            <w14:solidFill>
              <w14:schemeClr w14:val="tx1"/>
            </w14:solidFill>
          </w14:textFill>
        </w:rPr>
        <w:t>检验</w:t>
      </w:r>
      <w:r>
        <w:rPr>
          <w:rFonts w:hint="eastAsia" w:ascii="Times New Roman" w:hAnsi="Times New Roman" w:eastAsia="黑体" w:cs="Times New Roman"/>
          <w:color w:val="000000" w:themeColor="text1"/>
          <w:szCs w:val="18"/>
          <w14:textFill>
            <w14:solidFill>
              <w14:schemeClr w14:val="tx1"/>
            </w14:solidFill>
          </w14:textFill>
        </w:rPr>
        <w:t>结果</w:t>
      </w:r>
    </w:p>
    <w:p w14:paraId="64FA471D">
      <w:pPr>
        <w:ind w:firstLine="420"/>
        <w:rPr>
          <w:rFonts w:ascii="Times New Roman" w:hAnsi="Times New Roman" w:cs="Times New Roman"/>
          <w:color w:val="000000" w:themeColor="text1"/>
          <w14:textFill>
            <w14:solidFill>
              <w14:schemeClr w14:val="tx1"/>
            </w14:solidFill>
          </w14:textFill>
        </w:rPr>
      </w:pPr>
    </w:p>
    <w:p w14:paraId="2B7419FB">
      <w:pPr>
        <w:shd w:val="clear"/>
        <w:ind w:firstLine="420" w:firstLineChars="200"/>
        <w:rPr>
          <w:rFonts w:hint="eastAsia" w:ascii="黑体" w:hAnsi="黑体" w:eastAsia="黑体" w:cs="黑体"/>
          <w:szCs w:val="21"/>
          <w:lang w:bidi="ar"/>
        </w:rPr>
      </w:pPr>
      <w:r>
        <w:rPr>
          <w:rFonts w:hint="eastAsia" w:ascii="黑体" w:hAnsi="黑体" w:eastAsia="黑体" w:cs="黑体"/>
          <w:szCs w:val="21"/>
          <w:lang w:bidi="ar"/>
        </w:rPr>
        <w:t>(</w:t>
      </w:r>
      <w:r>
        <w:rPr>
          <w:rFonts w:hint="eastAsia" w:ascii="黑体" w:hAnsi="黑体" w:eastAsia="黑体" w:cs="黑体"/>
          <w:szCs w:val="21"/>
          <w:lang w:val="en-US" w:eastAsia="zh-CN" w:bidi="ar"/>
        </w:rPr>
        <w:t>二</w:t>
      </w:r>
      <w:r>
        <w:rPr>
          <w:rFonts w:hint="eastAsia" w:ascii="黑体" w:hAnsi="黑体" w:eastAsia="黑体" w:cs="黑体"/>
          <w:szCs w:val="21"/>
          <w:lang w:bidi="ar"/>
        </w:rPr>
        <w:t>)</w:t>
      </w:r>
      <w:r>
        <w:rPr>
          <w:rFonts w:hint="eastAsia" w:ascii="黑体" w:hAnsi="黑体" w:eastAsia="黑体" w:cs="黑体"/>
          <w:szCs w:val="21"/>
          <w:lang w:val="en-US" w:eastAsia="zh-CN" w:bidi="ar"/>
        </w:rPr>
        <w:t>稳健性分析——</w:t>
      </w:r>
      <w:r>
        <w:rPr>
          <w:rFonts w:hint="eastAsia" w:ascii="黑体" w:hAnsi="黑体" w:eastAsia="黑体" w:cs="黑体"/>
          <w:szCs w:val="21"/>
          <w:lang w:bidi="ar"/>
        </w:rPr>
        <w:t>内生性处理</w:t>
      </w:r>
    </w:p>
    <w:p w14:paraId="6A3BD349">
      <w:pPr>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针对本文研究内容，</w:t>
      </w:r>
      <w:r>
        <w:rPr>
          <w:rFonts w:hint="eastAsia" w:ascii="Times New Roman" w:hAnsi="Times New Roman" w:cs="Times New Roman"/>
          <w:color w:val="000000" w:themeColor="text1"/>
          <w14:textFill>
            <w14:solidFill>
              <w14:schemeClr w14:val="tx1"/>
            </w14:solidFill>
          </w14:textFill>
        </w:rPr>
        <w:t>潜在的遗漏变量、样本选择偏误与反向因果问题均可能造成</w:t>
      </w:r>
      <w:r>
        <w:rPr>
          <w:rFonts w:ascii="Times New Roman" w:hAnsi="Times New Roman" w:cs="Times New Roman"/>
          <w:color w:val="000000" w:themeColor="text1"/>
          <w14:textFill>
            <w14:solidFill>
              <w14:schemeClr w14:val="tx1"/>
            </w14:solidFill>
          </w14:textFill>
        </w:rPr>
        <w:t>内生性偏误</w:t>
      </w:r>
      <w:r>
        <w:rPr>
          <w:rFonts w:hint="eastAsia" w:ascii="Times New Roman" w:hAnsi="Times New Roman" w:cs="Times New Roman"/>
          <w:color w:val="000000" w:themeColor="text1"/>
          <w14:textFill>
            <w14:solidFill>
              <w14:schemeClr w14:val="tx1"/>
            </w14:solidFill>
          </w14:textFill>
        </w:rPr>
        <w:t>，我们尝试对此做出检验：</w:t>
      </w:r>
    </w:p>
    <w:p w14:paraId="1425776E">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一是纳入更多控制变量。当涉及更多技术领域、具有雄厚研发资本存量，即接收更多知识溢出的企业因某种机制更多地集中于高新区区县时，我们所观测到的基准结果可能有偏。</w:t>
      </w:r>
    </w:p>
    <w:p w14:paraId="7C637D9D">
      <w:pPr>
        <w:wordWrap w:val="0"/>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对此，我们通过纳入额外的控制变量缓解该疑虑。一方面，为考虑企业创新活动存量与流量的影响，我们将企业研发资本总额与当期研发投入金额纳入基准模型，以控制企业本身的创新活跃程度差异。另一方面，企业所具备的市场势力对其创新行为具有重要影响（Aghion et al.，2005），我们通过控制企业毛利率与同区县其他企业研发资本存量总额，将企业在产品市场与技术领域的垄断力量加以考虑。此外，企业管理团队特征是影响创新绩效的重要因素之一（余晨阳、何流，2019），通过纳入企业董监高团队在学历教育中涉及的院校与专业数量，我们尝试将相关因素加以控制。具体结果如</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1</w:t>
      </w:r>
      <w:r>
        <w:rPr>
          <w:rFonts w:hint="eastAsia" w:ascii="Times New Roman" w:hAnsi="Times New Roman" w:cs="Times New Roman"/>
          <w:color w:val="000000" w:themeColor="text1"/>
          <w14:textFill>
            <w14:solidFill>
              <w14:schemeClr w14:val="tx1"/>
            </w14:solidFill>
          </w14:textFill>
        </w:rPr>
        <w:t>前三列所示，结果保持稳健。</w:t>
      </w:r>
    </w:p>
    <w:p w14:paraId="0FD6FB41">
      <w:pPr>
        <w:wordWrap w:val="0"/>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二是PSM-DID估计。我们参考</w:t>
      </w:r>
      <w:r>
        <w:rPr>
          <w:rFonts w:ascii="Times New Roman" w:hAnsi="Times New Roman" w:cs="Times New Roman"/>
          <w:color w:val="000000" w:themeColor="text1"/>
          <w14:textFill>
            <w14:solidFill>
              <w14:schemeClr w14:val="tx1"/>
            </w14:solidFill>
          </w14:textFill>
        </w:rPr>
        <w:t>蔡庆丰等</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r>
        <w:rPr>
          <w:rFonts w:hint="eastAsia" w:ascii="Times New Roman" w:hAnsi="Times New Roman" w:cs="Times New Roman"/>
          <w:color w:val="000000" w:themeColor="text1"/>
          <w14:textFill>
            <w14:solidFill>
              <w14:schemeClr w14:val="tx1"/>
            </w14:solidFill>
          </w14:textFill>
        </w:rPr>
        <w:t>）的做法，使用倾向得分匹配（PSM）对处理组与控制组做出匹配，获取其他特征最为相近的样本重复估计。具体而言，为了充分控制前文因素的影响，我们在匹配中使用基准模型的控制变量集与上述额外控制变量集作为匹配变量，结合Logit模型获取匹配中的倾向得分，进而进行1：5有放回的邻近匹配。使用匹配所得样本的估计结果见</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1</w:t>
      </w:r>
      <w:r>
        <w:rPr>
          <w:rFonts w:hint="eastAsia" w:ascii="Times New Roman" w:hAnsi="Times New Roman" w:cs="Times New Roman"/>
          <w:color w:val="000000" w:themeColor="text1"/>
          <w14:textFill>
            <w14:solidFill>
              <w14:schemeClr w14:val="tx1"/>
            </w14:solidFill>
          </w14:textFill>
        </w:rPr>
        <w:t>第（4）列，与前文保持一致。</w:t>
      </w:r>
    </w:p>
    <w:p w14:paraId="4571B2F9">
      <w:pPr>
        <w:ind w:firstLine="420" w:firstLineChars="200"/>
        <w:rPr>
          <w:rFonts w:hint="eastAsia" w:ascii="Times New Roman" w:hAnsi="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三是工具变量法估计。我们选取我国1948年各省高校数量、高新区面积构造工具变量（余淼杰等，2017；Zheng and Li，2020）。具体而言，使用各省高校数量与不同层级高新区历年面积做交互后取对数，使之随年份发生变化，构成工具变量集。对于工具变量的合理性：一方面，1948年建国前的高校建设情况不会直接影响现有知识溢出接收情况，但可以反映高等教育的发展水平，现实中高校通过招录各地考生、吸纳毕业生就业提升地区人力资本存量（Winters，2011），构成了高新区形成与接收知识溢出的基础，是高新区建设的重要参考（Zheng and Li，2020）；另一方面，高新区作为与“空间”绑定的区位导向性政策，作用范围直接与建设面积相关，但所批设的建设面积一般外生于企业的决策（余淼杰等，2017）；此外，依赖不同层级高新区的面积信息，可以构造两个工具变量，从而在统计上展开过度识别检验，为工具变量的使用提供更多支撑。</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1</w:t>
      </w:r>
      <w:r>
        <w:rPr>
          <w:rFonts w:hint="eastAsia" w:ascii="Times New Roman" w:hAnsi="Times New Roman" w:cs="Times New Roman"/>
          <w:color w:val="000000" w:themeColor="text1"/>
          <w14:textFill>
            <w14:solidFill>
              <w14:schemeClr w14:val="tx1"/>
            </w14:solidFill>
          </w14:textFill>
        </w:rPr>
        <w:t>第（5）、（6）列汇报了工具变量法两阶段的估计结果，结果保持稳健。</w:t>
      </w:r>
      <w:r>
        <w:rPr>
          <w:rFonts w:hint="eastAsia" w:ascii="Times New Roman" w:hAnsi="Times New Roman"/>
          <w:color w:val="000000" w:themeColor="text1"/>
          <w14:textFill>
            <w14:solidFill>
              <w14:schemeClr w14:val="tx1"/>
            </w14:solidFill>
          </w14:textFill>
        </w:rPr>
        <w:t>同时，估计中第一阶段的F统计值大于10，并通过了弱工具变量检验与过度识别检验，巩固了结果的有效性。</w:t>
      </w:r>
    </w:p>
    <w:p w14:paraId="4279A41F">
      <w:pPr>
        <w:ind w:firstLine="420"/>
        <w:rPr>
          <w:rFonts w:hint="eastAsia" w:ascii="Times New Roman" w:hAnsi="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进一步地，我们使用</w:t>
      </w:r>
      <w:r>
        <w:rPr>
          <w:rFonts w:hint="eastAsia" w:ascii="Times New Roman" w:hAnsi="Times New Roman" w:cs="Times New Roman"/>
          <w:color w:val="000000" w:themeColor="text1"/>
          <w:lang w:val="en-US" w:eastAsia="zh-CN"/>
          <w14:textFill>
            <w14:solidFill>
              <w14:schemeClr w14:val="tx1"/>
            </w14:solidFill>
          </w14:textFill>
        </w:rPr>
        <w:t>前文</w:t>
      </w:r>
      <w:r>
        <w:rPr>
          <w:rFonts w:hint="eastAsia" w:ascii="Times New Roman" w:hAnsi="Times New Roman" w:cs="Times New Roman"/>
          <w:color w:val="000000" w:themeColor="text1"/>
          <w14:textFill>
            <w14:solidFill>
              <w14:schemeClr w14:val="tx1"/>
            </w14:solidFill>
          </w14:textFill>
        </w:rPr>
        <w:t>异质性处理效应估计方法获取了相应的稳健估计量，结果见</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1</w:t>
      </w:r>
      <w:r>
        <w:rPr>
          <w:rFonts w:hint="eastAsia" w:ascii="Times New Roman" w:hAnsi="Times New Roman" w:cs="Times New Roman"/>
          <w:color w:val="000000" w:themeColor="text1"/>
          <w14:textFill>
            <w14:solidFill>
              <w14:schemeClr w14:val="tx1"/>
            </w14:solidFill>
          </w14:textFill>
        </w:rPr>
        <w:t>最后两列，依然稳健。</w:t>
      </w:r>
    </w:p>
    <w:p w14:paraId="35EBC370">
      <w:pPr>
        <w:pStyle w:val="6"/>
        <w:spacing w:before="156" w:beforeLines="50" w:line="240" w:lineRule="auto"/>
        <w:ind w:firstLine="420"/>
        <w:jc w:val="left"/>
        <w:outlineLvl w:val="3"/>
        <w:rPr>
          <w:rFonts w:hint="default" w:eastAsia="黑体" w:cs="Times New Roman"/>
          <w:b w:val="0"/>
          <w:bCs w:val="0"/>
          <w:color w:val="auto"/>
          <w:kern w:val="2"/>
          <w:sz w:val="21"/>
          <w:lang w:val="en-US" w:eastAsia="zh-CN"/>
        </w:rPr>
      </w:pPr>
      <w:r>
        <w:rPr>
          <w:rFonts w:hint="eastAsia" w:eastAsia="黑体" w:cs="Times New Roman"/>
          <w:b w:val="0"/>
          <w:bCs w:val="0"/>
          <w:color w:val="auto"/>
          <w:kern w:val="2"/>
          <w:sz w:val="21"/>
          <w:lang w:val="en-US" w:eastAsia="zh-CN"/>
        </w:rPr>
        <w:t>附</w:t>
      </w:r>
      <w:r>
        <w:rPr>
          <w:rFonts w:eastAsia="黑体" w:cs="Times New Roman"/>
          <w:b w:val="0"/>
          <w:bCs w:val="0"/>
          <w:color w:val="auto"/>
          <w:kern w:val="2"/>
          <w:sz w:val="21"/>
        </w:rPr>
        <w:t xml:space="preserve">表 </w:t>
      </w:r>
      <w:r>
        <w:rPr>
          <w:rFonts w:hint="eastAsia" w:eastAsia="黑体" w:cs="Times New Roman"/>
          <w:color w:val="auto"/>
          <w:kern w:val="2"/>
          <w:sz w:val="21"/>
          <w:lang w:val="en-US" w:eastAsia="zh-CN"/>
        </w:rPr>
        <w:t>1</w:t>
      </w:r>
      <w:r>
        <w:rPr>
          <w:rFonts w:hint="eastAsia" w:ascii="黑体" w:eastAsia="黑体"/>
          <w:b w:val="0"/>
          <w:bCs w:val="0"/>
          <w:color w:val="auto"/>
          <w:kern w:val="2"/>
          <w:sz w:val="21"/>
        </w:rPr>
        <w:t xml:space="preserve">                          </w:t>
      </w:r>
      <w:r>
        <w:rPr>
          <w:rFonts w:hint="eastAsia" w:ascii="黑体" w:eastAsia="黑体"/>
          <w:b w:val="0"/>
          <w:bCs w:val="0"/>
          <w:color w:val="auto"/>
          <w:kern w:val="2"/>
          <w:sz w:val="21"/>
          <w:lang w:val="en-US" w:eastAsia="zh-CN"/>
        </w:rPr>
        <w:t>稳健性分析——内生性处理</w:t>
      </w:r>
    </w:p>
    <w:tbl>
      <w:tblPr>
        <w:tblStyle w:val="3"/>
        <w:tblW w:w="9351" w:type="dxa"/>
        <w:jc w:val="center"/>
        <w:tblLayout w:type="fixed"/>
        <w:tblCellMar>
          <w:top w:w="0" w:type="dxa"/>
          <w:left w:w="0" w:type="dxa"/>
          <w:bottom w:w="0" w:type="dxa"/>
          <w:right w:w="0" w:type="dxa"/>
        </w:tblCellMar>
      </w:tblPr>
      <w:tblGrid>
        <w:gridCol w:w="1871"/>
        <w:gridCol w:w="935"/>
        <w:gridCol w:w="935"/>
        <w:gridCol w:w="935"/>
        <w:gridCol w:w="935"/>
        <w:gridCol w:w="935"/>
        <w:gridCol w:w="935"/>
        <w:gridCol w:w="935"/>
        <w:gridCol w:w="935"/>
      </w:tblGrid>
      <w:tr w14:paraId="41E047B4">
        <w:tblPrEx>
          <w:tblCellMar>
            <w:top w:w="0" w:type="dxa"/>
            <w:left w:w="0" w:type="dxa"/>
            <w:bottom w:w="0" w:type="dxa"/>
            <w:right w:w="0" w:type="dxa"/>
          </w:tblCellMar>
        </w:tblPrEx>
        <w:trPr>
          <w:jc w:val="center"/>
        </w:trPr>
        <w:tc>
          <w:tcPr>
            <w:tcW w:w="1871" w:type="dxa"/>
            <w:tcBorders>
              <w:top w:val="single" w:color="auto" w:sz="8" w:space="0"/>
              <w:left w:val="nil"/>
              <w:bottom w:val="nil"/>
              <w:right w:val="nil"/>
              <w:tl2br w:val="nil"/>
              <w:tr2bl w:val="nil"/>
            </w:tcBorders>
          </w:tcPr>
          <w:p w14:paraId="30B57661">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single" w:color="auto" w:sz="8" w:space="0"/>
              <w:left w:val="nil"/>
              <w:bottom w:val="nil"/>
              <w:right w:val="nil"/>
              <w:tl2br w:val="nil"/>
              <w:tr2bl w:val="nil"/>
            </w:tcBorders>
          </w:tcPr>
          <w:p w14:paraId="3C8B472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(1)</w:t>
            </w:r>
          </w:p>
        </w:tc>
        <w:tc>
          <w:tcPr>
            <w:tcW w:w="935" w:type="dxa"/>
            <w:tcBorders>
              <w:top w:val="single" w:color="auto" w:sz="8" w:space="0"/>
              <w:left w:val="nil"/>
              <w:bottom w:val="nil"/>
              <w:right w:val="nil"/>
              <w:tl2br w:val="nil"/>
              <w:tr2bl w:val="nil"/>
            </w:tcBorders>
          </w:tcPr>
          <w:p w14:paraId="4635437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(2)</w:t>
            </w:r>
          </w:p>
        </w:tc>
        <w:tc>
          <w:tcPr>
            <w:tcW w:w="935" w:type="dxa"/>
            <w:tcBorders>
              <w:top w:val="single" w:color="auto" w:sz="8" w:space="0"/>
              <w:left w:val="nil"/>
              <w:bottom w:val="nil"/>
              <w:right w:val="nil"/>
              <w:tl2br w:val="nil"/>
              <w:tr2bl w:val="nil"/>
            </w:tcBorders>
          </w:tcPr>
          <w:p w14:paraId="0469EABA">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(3)</w:t>
            </w:r>
          </w:p>
        </w:tc>
        <w:tc>
          <w:tcPr>
            <w:tcW w:w="935" w:type="dxa"/>
            <w:tcBorders>
              <w:top w:val="single" w:color="auto" w:sz="8" w:space="0"/>
              <w:left w:val="nil"/>
              <w:bottom w:val="nil"/>
              <w:right w:val="nil"/>
              <w:tl2br w:val="nil"/>
              <w:tr2bl w:val="nil"/>
            </w:tcBorders>
          </w:tcPr>
          <w:p w14:paraId="6E5E816A">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(4)</w:t>
            </w:r>
          </w:p>
        </w:tc>
        <w:tc>
          <w:tcPr>
            <w:tcW w:w="935" w:type="dxa"/>
            <w:tcBorders>
              <w:top w:val="single" w:color="auto" w:sz="8" w:space="0"/>
              <w:left w:val="nil"/>
              <w:bottom w:val="nil"/>
              <w:right w:val="nil"/>
              <w:tl2br w:val="nil"/>
              <w:tr2bl w:val="nil"/>
            </w:tcBorders>
          </w:tcPr>
          <w:p w14:paraId="3A97A0EA">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(5)</w:t>
            </w:r>
          </w:p>
        </w:tc>
        <w:tc>
          <w:tcPr>
            <w:tcW w:w="935" w:type="dxa"/>
            <w:tcBorders>
              <w:top w:val="single" w:color="auto" w:sz="8" w:space="0"/>
              <w:left w:val="nil"/>
              <w:bottom w:val="nil"/>
              <w:right w:val="nil"/>
              <w:tl2br w:val="nil"/>
              <w:tr2bl w:val="nil"/>
            </w:tcBorders>
          </w:tcPr>
          <w:p w14:paraId="66050FF1">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(6)</w:t>
            </w:r>
          </w:p>
        </w:tc>
        <w:tc>
          <w:tcPr>
            <w:tcW w:w="935" w:type="dxa"/>
            <w:tcBorders>
              <w:top w:val="single" w:color="auto" w:sz="8" w:space="0"/>
              <w:left w:val="nil"/>
              <w:bottom w:val="nil"/>
              <w:right w:val="nil"/>
              <w:tl2br w:val="nil"/>
              <w:tr2bl w:val="nil"/>
            </w:tcBorders>
          </w:tcPr>
          <w:p w14:paraId="6B416FB5">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(7)</w:t>
            </w:r>
          </w:p>
        </w:tc>
        <w:tc>
          <w:tcPr>
            <w:tcW w:w="935" w:type="dxa"/>
            <w:tcBorders>
              <w:top w:val="single" w:color="auto" w:sz="8" w:space="0"/>
              <w:left w:val="nil"/>
              <w:bottom w:val="nil"/>
              <w:right w:val="nil"/>
              <w:tl2br w:val="nil"/>
              <w:tr2bl w:val="nil"/>
            </w:tcBorders>
          </w:tcPr>
          <w:p w14:paraId="486766D1">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8</w:t>
            </w:r>
            <w:r>
              <w:rPr>
                <w:rFonts w:ascii="Times New Roman" w:hAnsi="Times New Roman" w:eastAsia="楷体" w:cs="Times New Roman"/>
                <w:color w:val="000000" w:themeColor="text1"/>
                <w:sz w:val="18"/>
                <w:szCs w:val="18"/>
                <w14:textFill>
                  <w14:solidFill>
                    <w14:schemeClr w14:val="tx1"/>
                  </w14:solidFill>
                </w14:textFill>
              </w:rPr>
              <w:t>)</w:t>
            </w:r>
          </w:p>
        </w:tc>
      </w:tr>
      <w:tr w14:paraId="25E1FC22">
        <w:tblPrEx>
          <w:tblCellMar>
            <w:top w:w="0" w:type="dxa"/>
            <w:left w:w="0" w:type="dxa"/>
            <w:bottom w:w="0" w:type="dxa"/>
            <w:right w:w="0" w:type="dxa"/>
          </w:tblCellMar>
        </w:tblPrEx>
        <w:trPr>
          <w:jc w:val="center"/>
        </w:trPr>
        <w:tc>
          <w:tcPr>
            <w:tcW w:w="1871" w:type="dxa"/>
            <w:tcBorders>
              <w:top w:val="nil"/>
              <w:left w:val="nil"/>
              <w:bottom w:val="single" w:color="auto" w:sz="4" w:space="0"/>
              <w:right w:val="nil"/>
              <w:tl2br w:val="nil"/>
              <w:tr2bl w:val="nil"/>
            </w:tcBorders>
          </w:tcPr>
          <w:p w14:paraId="542B8DD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变量</w:t>
            </w:r>
          </w:p>
        </w:tc>
        <w:tc>
          <w:tcPr>
            <w:tcW w:w="3740" w:type="dxa"/>
            <w:gridSpan w:val="4"/>
            <w:tcBorders>
              <w:top w:val="nil"/>
              <w:left w:val="nil"/>
              <w:bottom w:val="single" w:color="auto" w:sz="4" w:space="0"/>
              <w:right w:val="nil"/>
              <w:tl2br w:val="nil"/>
              <w:tr2bl w:val="nil"/>
            </w:tcBorders>
          </w:tcPr>
          <w:p w14:paraId="25EC8B6E">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知识溢出接收</w:t>
            </w:r>
          </w:p>
        </w:tc>
        <w:tc>
          <w:tcPr>
            <w:tcW w:w="935" w:type="dxa"/>
            <w:tcBorders>
              <w:top w:val="nil"/>
              <w:left w:val="nil"/>
              <w:bottom w:val="single" w:color="auto" w:sz="4" w:space="0"/>
              <w:right w:val="nil"/>
              <w:tl2br w:val="nil"/>
              <w:tr2bl w:val="nil"/>
            </w:tcBorders>
          </w:tcPr>
          <w:p w14:paraId="7EADC224">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高新区设立</w:t>
            </w:r>
          </w:p>
        </w:tc>
        <w:tc>
          <w:tcPr>
            <w:tcW w:w="2805" w:type="dxa"/>
            <w:gridSpan w:val="3"/>
            <w:tcBorders>
              <w:top w:val="nil"/>
              <w:left w:val="nil"/>
              <w:bottom w:val="single" w:color="auto" w:sz="4" w:space="0"/>
              <w:right w:val="nil"/>
              <w:tl2br w:val="nil"/>
              <w:tr2bl w:val="nil"/>
            </w:tcBorders>
          </w:tcPr>
          <w:p w14:paraId="6AFDCE5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知识溢出接收</w:t>
            </w:r>
          </w:p>
        </w:tc>
      </w:tr>
      <w:tr w14:paraId="536CAA06">
        <w:tblPrEx>
          <w:tblCellMar>
            <w:top w:w="0" w:type="dxa"/>
            <w:left w:w="0" w:type="dxa"/>
            <w:bottom w:w="0" w:type="dxa"/>
            <w:right w:w="0" w:type="dxa"/>
          </w:tblCellMar>
        </w:tblPrEx>
        <w:trPr>
          <w:jc w:val="center"/>
        </w:trPr>
        <w:tc>
          <w:tcPr>
            <w:tcW w:w="1871" w:type="dxa"/>
            <w:tcBorders>
              <w:top w:val="single" w:color="auto" w:sz="4" w:space="0"/>
              <w:left w:val="nil"/>
              <w:bottom w:val="nil"/>
              <w:right w:val="nil"/>
              <w:tl2br w:val="nil"/>
              <w:tr2bl w:val="nil"/>
            </w:tcBorders>
          </w:tcPr>
          <w:p w14:paraId="6992690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高新区</w:t>
            </w:r>
            <w:r>
              <w:rPr>
                <w:rFonts w:hint="eastAsia" w:ascii="Times New Roman" w:hAnsi="Times New Roman" w:eastAsia="楷体" w:cs="Times New Roman"/>
                <w:color w:val="000000" w:themeColor="text1"/>
                <w:sz w:val="18"/>
                <w:szCs w:val="18"/>
                <w14:textFill>
                  <w14:solidFill>
                    <w14:schemeClr w14:val="tx1"/>
                  </w14:solidFill>
                </w14:textFill>
              </w:rPr>
              <w:t>设立</w:t>
            </w:r>
          </w:p>
        </w:tc>
        <w:tc>
          <w:tcPr>
            <w:tcW w:w="935" w:type="dxa"/>
            <w:tcBorders>
              <w:top w:val="single" w:color="auto" w:sz="4" w:space="0"/>
              <w:left w:val="nil"/>
              <w:bottom w:val="nil"/>
              <w:right w:val="nil"/>
              <w:tl2br w:val="nil"/>
              <w:tr2bl w:val="nil"/>
            </w:tcBorders>
          </w:tcPr>
          <w:p w14:paraId="30D553F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0.082***</w:t>
            </w:r>
          </w:p>
        </w:tc>
        <w:tc>
          <w:tcPr>
            <w:tcW w:w="935" w:type="dxa"/>
            <w:tcBorders>
              <w:top w:val="single" w:color="auto" w:sz="4" w:space="0"/>
              <w:left w:val="nil"/>
              <w:bottom w:val="nil"/>
              <w:right w:val="nil"/>
              <w:tl2br w:val="nil"/>
              <w:tr2bl w:val="nil"/>
            </w:tcBorders>
          </w:tcPr>
          <w:p w14:paraId="0302292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0.110***</w:t>
            </w:r>
          </w:p>
        </w:tc>
        <w:tc>
          <w:tcPr>
            <w:tcW w:w="935" w:type="dxa"/>
            <w:tcBorders>
              <w:top w:val="single" w:color="auto" w:sz="4" w:space="0"/>
              <w:left w:val="nil"/>
              <w:bottom w:val="nil"/>
              <w:right w:val="nil"/>
              <w:tl2br w:val="nil"/>
              <w:tr2bl w:val="nil"/>
            </w:tcBorders>
          </w:tcPr>
          <w:p w14:paraId="04F2A16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0.092*</w:t>
            </w:r>
          </w:p>
        </w:tc>
        <w:tc>
          <w:tcPr>
            <w:tcW w:w="935" w:type="dxa"/>
            <w:tcBorders>
              <w:top w:val="single" w:color="auto" w:sz="4" w:space="0"/>
              <w:left w:val="nil"/>
              <w:bottom w:val="nil"/>
              <w:right w:val="nil"/>
              <w:tl2br w:val="nil"/>
              <w:tr2bl w:val="nil"/>
            </w:tcBorders>
          </w:tcPr>
          <w:p w14:paraId="6B25CDA5">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0.140**</w:t>
            </w:r>
          </w:p>
        </w:tc>
        <w:tc>
          <w:tcPr>
            <w:tcW w:w="935" w:type="dxa"/>
            <w:tcBorders>
              <w:top w:val="single" w:color="auto" w:sz="4" w:space="0"/>
              <w:left w:val="nil"/>
              <w:bottom w:val="nil"/>
              <w:right w:val="nil"/>
              <w:tl2br w:val="nil"/>
              <w:tr2bl w:val="nil"/>
            </w:tcBorders>
          </w:tcPr>
          <w:p w14:paraId="244F27BF">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single" w:color="auto" w:sz="4" w:space="0"/>
              <w:left w:val="nil"/>
              <w:bottom w:val="nil"/>
              <w:right w:val="nil"/>
              <w:tl2br w:val="nil"/>
              <w:tr2bl w:val="nil"/>
            </w:tcBorders>
          </w:tcPr>
          <w:p w14:paraId="0BB49BD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w:t>
            </w:r>
            <w:r>
              <w:rPr>
                <w:rFonts w:hint="eastAsia" w:ascii="Times New Roman" w:hAnsi="Times New Roman" w:eastAsia="楷体" w:cs="Times New Roman"/>
                <w:color w:val="000000" w:themeColor="text1"/>
                <w:sz w:val="18"/>
                <w:szCs w:val="18"/>
                <w14:textFill>
                  <w14:solidFill>
                    <w14:schemeClr w14:val="tx1"/>
                  </w14:solidFill>
                </w14:textFill>
              </w:rPr>
              <w:t>83*</w:t>
            </w:r>
            <w:r>
              <w:rPr>
                <w:rFonts w:ascii="Times New Roman" w:hAnsi="Times New Roman" w:eastAsia="楷体" w:cs="Times New Roman"/>
                <w:color w:val="000000" w:themeColor="text1"/>
                <w:sz w:val="18"/>
                <w:szCs w:val="18"/>
                <w14:textFill>
                  <w14:solidFill>
                    <w14:schemeClr w14:val="tx1"/>
                  </w14:solidFill>
                </w14:textFill>
              </w:rPr>
              <w:t>*</w:t>
            </w:r>
          </w:p>
        </w:tc>
        <w:tc>
          <w:tcPr>
            <w:tcW w:w="935" w:type="dxa"/>
            <w:tcBorders>
              <w:top w:val="single" w:color="auto" w:sz="4" w:space="0"/>
              <w:left w:val="nil"/>
              <w:bottom w:val="nil"/>
              <w:right w:val="nil"/>
              <w:tl2br w:val="nil"/>
              <w:tr2bl w:val="nil"/>
            </w:tcBorders>
          </w:tcPr>
          <w:p w14:paraId="2ACB253A">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0.048***</w:t>
            </w:r>
          </w:p>
        </w:tc>
        <w:tc>
          <w:tcPr>
            <w:tcW w:w="935" w:type="dxa"/>
            <w:tcBorders>
              <w:top w:val="single" w:color="auto" w:sz="4" w:space="0"/>
              <w:left w:val="nil"/>
              <w:bottom w:val="nil"/>
              <w:right w:val="nil"/>
              <w:tl2br w:val="nil"/>
              <w:tr2bl w:val="nil"/>
            </w:tcBorders>
          </w:tcPr>
          <w:p w14:paraId="4E5FFCA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w:t>
            </w: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080</w:t>
            </w:r>
            <w:r>
              <w:rPr>
                <w:rFonts w:hint="eastAsia" w:ascii="Times New Roman" w:hAnsi="Times New Roman" w:eastAsia="楷体" w:cs="Times New Roman"/>
                <w:color w:val="000000" w:themeColor="text1"/>
                <w:sz w:val="18"/>
                <w:szCs w:val="18"/>
                <w14:textFill>
                  <w14:solidFill>
                    <w14:schemeClr w14:val="tx1"/>
                  </w14:solidFill>
                </w14:textFill>
              </w:rPr>
              <w:t>***</w:t>
            </w:r>
          </w:p>
        </w:tc>
      </w:tr>
      <w:tr w14:paraId="11F7A447">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0AC37EB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8E1512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(0.031)</w:t>
            </w:r>
          </w:p>
        </w:tc>
        <w:tc>
          <w:tcPr>
            <w:tcW w:w="935" w:type="dxa"/>
            <w:tcBorders>
              <w:top w:val="nil"/>
              <w:left w:val="nil"/>
              <w:bottom w:val="nil"/>
              <w:right w:val="nil"/>
              <w:tl2br w:val="nil"/>
              <w:tr2bl w:val="nil"/>
            </w:tcBorders>
          </w:tcPr>
          <w:p w14:paraId="46F4209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(0.038)</w:t>
            </w:r>
          </w:p>
        </w:tc>
        <w:tc>
          <w:tcPr>
            <w:tcW w:w="935" w:type="dxa"/>
            <w:tcBorders>
              <w:top w:val="nil"/>
              <w:left w:val="nil"/>
              <w:bottom w:val="nil"/>
              <w:right w:val="nil"/>
              <w:tl2br w:val="nil"/>
              <w:tr2bl w:val="nil"/>
            </w:tcBorders>
          </w:tcPr>
          <w:p w14:paraId="1E93E4C7">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(0.048)</w:t>
            </w:r>
          </w:p>
        </w:tc>
        <w:tc>
          <w:tcPr>
            <w:tcW w:w="935" w:type="dxa"/>
            <w:tcBorders>
              <w:top w:val="nil"/>
              <w:left w:val="nil"/>
              <w:bottom w:val="nil"/>
              <w:right w:val="nil"/>
              <w:tl2br w:val="nil"/>
              <w:tr2bl w:val="nil"/>
            </w:tcBorders>
          </w:tcPr>
          <w:p w14:paraId="2ABC738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(0.056)</w:t>
            </w:r>
          </w:p>
        </w:tc>
        <w:tc>
          <w:tcPr>
            <w:tcW w:w="935" w:type="dxa"/>
            <w:tcBorders>
              <w:top w:val="nil"/>
              <w:left w:val="nil"/>
              <w:bottom w:val="nil"/>
              <w:right w:val="nil"/>
              <w:tl2br w:val="nil"/>
              <w:tr2bl w:val="nil"/>
            </w:tcBorders>
          </w:tcPr>
          <w:p w14:paraId="1AA97FC1">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396C3E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(0.04</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1</w:t>
            </w:r>
            <w:r>
              <w:rPr>
                <w:rFonts w:ascii="Times New Roman" w:hAnsi="Times New Roman" w:eastAsia="楷体" w:cs="Times New Roman"/>
                <w:color w:val="000000" w:themeColor="text1"/>
                <w:sz w:val="18"/>
                <w:szCs w:val="18"/>
                <w14:textFill>
                  <w14:solidFill>
                    <w14:schemeClr w14:val="tx1"/>
                  </w14:solidFill>
                </w14:textFill>
              </w:rPr>
              <w:t>)</w:t>
            </w:r>
          </w:p>
        </w:tc>
        <w:tc>
          <w:tcPr>
            <w:tcW w:w="935" w:type="dxa"/>
            <w:tcBorders>
              <w:top w:val="nil"/>
              <w:left w:val="nil"/>
              <w:bottom w:val="nil"/>
              <w:right w:val="nil"/>
              <w:tl2br w:val="nil"/>
              <w:tr2bl w:val="nil"/>
            </w:tcBorders>
          </w:tcPr>
          <w:p w14:paraId="79E7AA32">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(0.018)</w:t>
            </w:r>
          </w:p>
        </w:tc>
        <w:tc>
          <w:tcPr>
            <w:tcW w:w="935" w:type="dxa"/>
            <w:tcBorders>
              <w:top w:val="nil"/>
              <w:left w:val="nil"/>
              <w:bottom w:val="nil"/>
              <w:right w:val="nil"/>
              <w:tl2br w:val="nil"/>
              <w:tr2bl w:val="nil"/>
            </w:tcBorders>
          </w:tcPr>
          <w:p w14:paraId="47794277">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22</w:t>
            </w:r>
            <w:r>
              <w:rPr>
                <w:rFonts w:hint="eastAsia" w:ascii="Times New Roman" w:hAnsi="Times New Roman" w:eastAsia="楷体" w:cs="Times New Roman"/>
                <w:color w:val="000000" w:themeColor="text1"/>
                <w:sz w:val="18"/>
                <w:szCs w:val="18"/>
                <w14:textFill>
                  <w14:solidFill>
                    <w14:schemeClr w14:val="tx1"/>
                  </w14:solidFill>
                </w14:textFill>
              </w:rPr>
              <w:t>)</w:t>
            </w:r>
          </w:p>
        </w:tc>
      </w:tr>
      <w:tr w14:paraId="448D78D4">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6465F17C">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国家级面积*高校数</w:t>
            </w:r>
          </w:p>
        </w:tc>
        <w:tc>
          <w:tcPr>
            <w:tcW w:w="935" w:type="dxa"/>
            <w:tcBorders>
              <w:top w:val="nil"/>
              <w:left w:val="nil"/>
              <w:bottom w:val="nil"/>
              <w:right w:val="nil"/>
              <w:tl2br w:val="nil"/>
              <w:tr2bl w:val="nil"/>
            </w:tcBorders>
          </w:tcPr>
          <w:p w14:paraId="35EE1D01">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ADB8BF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395BCC8">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277F8A8">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F8B211F">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w:t>
            </w:r>
            <w:r>
              <w:rPr>
                <w:rFonts w:ascii="Times New Roman" w:hAnsi="Times New Roman" w:eastAsia="楷体" w:cs="Times New Roman"/>
                <w:color w:val="000000" w:themeColor="text1"/>
                <w:sz w:val="18"/>
                <w:szCs w:val="18"/>
                <w14:textFill>
                  <w14:solidFill>
                    <w14:schemeClr w14:val="tx1"/>
                  </w14:solidFill>
                </w14:textFill>
              </w:rPr>
              <w:t>.0</w:t>
            </w:r>
            <w:r>
              <w:rPr>
                <w:rFonts w:hint="eastAsia" w:ascii="Times New Roman" w:hAnsi="Times New Roman" w:eastAsia="楷体" w:cs="Times New Roman"/>
                <w:color w:val="000000" w:themeColor="text1"/>
                <w:sz w:val="18"/>
                <w:szCs w:val="18"/>
                <w14:textFill>
                  <w14:solidFill>
                    <w14:schemeClr w14:val="tx1"/>
                  </w14:solidFill>
                </w14:textFill>
              </w:rPr>
              <w:t>8</w:t>
            </w:r>
            <w:r>
              <w:rPr>
                <w:rFonts w:ascii="Times New Roman" w:hAnsi="Times New Roman" w:eastAsia="楷体" w:cs="Times New Roman"/>
                <w:color w:val="000000" w:themeColor="text1"/>
                <w:sz w:val="18"/>
                <w:szCs w:val="18"/>
                <w14:textFill>
                  <w14:solidFill>
                    <w14:schemeClr w14:val="tx1"/>
                  </w14:solidFill>
                </w14:textFill>
              </w:rPr>
              <w:t>3</w:t>
            </w:r>
            <w:r>
              <w:rPr>
                <w:rFonts w:hint="eastAsia" w:ascii="Times New Roman" w:hAnsi="Times New Roman" w:eastAsia="楷体" w:cs="Times New Roman"/>
                <w:color w:val="000000" w:themeColor="text1"/>
                <w:sz w:val="18"/>
                <w:szCs w:val="18"/>
                <w14:textFill>
                  <w14:solidFill>
                    <w14:schemeClr w14:val="tx1"/>
                  </w14:solidFill>
                </w14:textFill>
              </w:rPr>
              <w:t>***</w:t>
            </w:r>
          </w:p>
        </w:tc>
        <w:tc>
          <w:tcPr>
            <w:tcW w:w="935" w:type="dxa"/>
            <w:tcBorders>
              <w:top w:val="nil"/>
              <w:left w:val="nil"/>
              <w:bottom w:val="nil"/>
              <w:right w:val="nil"/>
              <w:tl2br w:val="nil"/>
              <w:tr2bl w:val="nil"/>
            </w:tcBorders>
          </w:tcPr>
          <w:p w14:paraId="67825ECD">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F7BD5B0">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1CC1740B">
            <w:pPr>
              <w:jc w:val="center"/>
              <w:rPr>
                <w:rFonts w:ascii="Times New Roman" w:hAnsi="Times New Roman" w:eastAsia="楷体" w:cs="Times New Roman"/>
                <w:color w:val="000000" w:themeColor="text1"/>
                <w:sz w:val="18"/>
                <w:szCs w:val="18"/>
                <w14:textFill>
                  <w14:solidFill>
                    <w14:schemeClr w14:val="tx1"/>
                  </w14:solidFill>
                </w14:textFill>
              </w:rPr>
            </w:pPr>
          </w:p>
        </w:tc>
      </w:tr>
      <w:tr w14:paraId="1ADB788C">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026124A7">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3C7C0A8">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136CA66">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DFF5B9C">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86A3E20">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EDE176B">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(0.015)</w:t>
            </w:r>
          </w:p>
        </w:tc>
        <w:tc>
          <w:tcPr>
            <w:tcW w:w="935" w:type="dxa"/>
            <w:tcBorders>
              <w:top w:val="nil"/>
              <w:left w:val="nil"/>
              <w:bottom w:val="nil"/>
              <w:right w:val="nil"/>
              <w:tl2br w:val="nil"/>
              <w:tr2bl w:val="nil"/>
            </w:tcBorders>
          </w:tcPr>
          <w:p w14:paraId="09355877">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E8F729E">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02D09BD">
            <w:pPr>
              <w:jc w:val="center"/>
              <w:rPr>
                <w:rFonts w:ascii="Times New Roman" w:hAnsi="Times New Roman" w:eastAsia="楷体" w:cs="Times New Roman"/>
                <w:color w:val="000000" w:themeColor="text1"/>
                <w:sz w:val="18"/>
                <w:szCs w:val="18"/>
                <w14:textFill>
                  <w14:solidFill>
                    <w14:schemeClr w14:val="tx1"/>
                  </w14:solidFill>
                </w14:textFill>
              </w:rPr>
            </w:pPr>
          </w:p>
        </w:tc>
      </w:tr>
      <w:tr w14:paraId="414BB3D6">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70AC4103">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省级面积*高校数</w:t>
            </w:r>
          </w:p>
        </w:tc>
        <w:tc>
          <w:tcPr>
            <w:tcW w:w="935" w:type="dxa"/>
            <w:tcBorders>
              <w:top w:val="nil"/>
              <w:left w:val="nil"/>
              <w:bottom w:val="nil"/>
              <w:right w:val="nil"/>
              <w:tl2br w:val="nil"/>
              <w:tr2bl w:val="nil"/>
            </w:tcBorders>
          </w:tcPr>
          <w:p w14:paraId="1B470C19">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FA7E63D">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7386CC1">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AB1039B">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3E3FC7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0.036***</w:t>
            </w:r>
          </w:p>
        </w:tc>
        <w:tc>
          <w:tcPr>
            <w:tcW w:w="935" w:type="dxa"/>
            <w:tcBorders>
              <w:top w:val="nil"/>
              <w:left w:val="nil"/>
              <w:bottom w:val="nil"/>
              <w:right w:val="nil"/>
              <w:tl2br w:val="nil"/>
              <w:tr2bl w:val="nil"/>
            </w:tcBorders>
          </w:tcPr>
          <w:p w14:paraId="1C59530D">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9D3C9D4">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CF29505">
            <w:pPr>
              <w:jc w:val="center"/>
              <w:rPr>
                <w:rFonts w:ascii="Times New Roman" w:hAnsi="Times New Roman" w:eastAsia="楷体" w:cs="Times New Roman"/>
                <w:color w:val="000000" w:themeColor="text1"/>
                <w:sz w:val="18"/>
                <w:szCs w:val="18"/>
                <w14:textFill>
                  <w14:solidFill>
                    <w14:schemeClr w14:val="tx1"/>
                  </w14:solidFill>
                </w14:textFill>
              </w:rPr>
            </w:pPr>
          </w:p>
        </w:tc>
      </w:tr>
      <w:tr w14:paraId="0A00858E">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103EFC7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B687EB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2D29E6E">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514BB46">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7615A0D">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CC874AC">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(0.009)</w:t>
            </w:r>
          </w:p>
        </w:tc>
        <w:tc>
          <w:tcPr>
            <w:tcW w:w="935" w:type="dxa"/>
            <w:tcBorders>
              <w:top w:val="nil"/>
              <w:left w:val="nil"/>
              <w:bottom w:val="nil"/>
              <w:right w:val="nil"/>
              <w:tl2br w:val="nil"/>
              <w:tr2bl w:val="nil"/>
            </w:tcBorders>
          </w:tcPr>
          <w:p w14:paraId="2130BD0F">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5D1A25E">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64ED9A6">
            <w:pPr>
              <w:jc w:val="center"/>
              <w:rPr>
                <w:rFonts w:ascii="Times New Roman" w:hAnsi="Times New Roman" w:eastAsia="楷体" w:cs="Times New Roman"/>
                <w:color w:val="000000" w:themeColor="text1"/>
                <w:sz w:val="18"/>
                <w:szCs w:val="18"/>
                <w14:textFill>
                  <w14:solidFill>
                    <w14:schemeClr w14:val="tx1"/>
                  </w14:solidFill>
                </w14:textFill>
              </w:rPr>
            </w:pPr>
          </w:p>
        </w:tc>
      </w:tr>
      <w:tr w14:paraId="56099F3A">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511060AB">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创新活动</w:t>
            </w:r>
          </w:p>
        </w:tc>
        <w:tc>
          <w:tcPr>
            <w:tcW w:w="935" w:type="dxa"/>
            <w:tcBorders>
              <w:top w:val="nil"/>
              <w:left w:val="nil"/>
              <w:bottom w:val="nil"/>
              <w:right w:val="nil"/>
              <w:tl2br w:val="nil"/>
              <w:tr2bl w:val="nil"/>
            </w:tcBorders>
            <w:vAlign w:val="center"/>
          </w:tcPr>
          <w:p w14:paraId="7C594FE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95BD55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3155FA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604323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6A07FF16">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4FD1E04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41961C92">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36D2F4E4">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r>
      <w:tr w14:paraId="2E2695C9">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4A2E4A16">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市场势力</w:t>
            </w:r>
          </w:p>
        </w:tc>
        <w:tc>
          <w:tcPr>
            <w:tcW w:w="935" w:type="dxa"/>
            <w:tcBorders>
              <w:top w:val="nil"/>
              <w:left w:val="nil"/>
              <w:bottom w:val="nil"/>
              <w:right w:val="nil"/>
              <w:tl2br w:val="nil"/>
              <w:tr2bl w:val="nil"/>
            </w:tcBorders>
            <w:vAlign w:val="center"/>
          </w:tcPr>
          <w:p w14:paraId="6CDD1BE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7984A56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0C9CEF5">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91580E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18FF9136">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1F72964B">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09FC6E47">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341F41A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r>
      <w:tr w14:paraId="63BBD125">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194D0C00">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管理团队特征</w:t>
            </w:r>
          </w:p>
        </w:tc>
        <w:tc>
          <w:tcPr>
            <w:tcW w:w="935" w:type="dxa"/>
            <w:tcBorders>
              <w:top w:val="nil"/>
              <w:left w:val="nil"/>
              <w:bottom w:val="nil"/>
              <w:right w:val="nil"/>
              <w:tl2br w:val="nil"/>
              <w:tr2bl w:val="nil"/>
            </w:tcBorders>
            <w:vAlign w:val="center"/>
          </w:tcPr>
          <w:p w14:paraId="3BD21685">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05B6C0D7">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4F10A76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CF24C0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65C1BFD">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16AA722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23EA39AE">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6BB3972F">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N</w:t>
            </w:r>
          </w:p>
        </w:tc>
      </w:tr>
      <w:tr w14:paraId="6A7BFD0E">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37536803">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控制变量</w:t>
            </w:r>
          </w:p>
        </w:tc>
        <w:tc>
          <w:tcPr>
            <w:tcW w:w="935" w:type="dxa"/>
            <w:tcBorders>
              <w:top w:val="nil"/>
              <w:left w:val="nil"/>
              <w:bottom w:val="nil"/>
              <w:right w:val="nil"/>
              <w:tl2br w:val="nil"/>
              <w:tr2bl w:val="nil"/>
            </w:tcBorders>
            <w:vAlign w:val="center"/>
          </w:tcPr>
          <w:p w14:paraId="15CA005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17B43B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0E0F1CE">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0A96C7E">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EB3D82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477CA0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128E319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411D09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r>
      <w:tr w14:paraId="24B52934">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31A7F7F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个体效应</w:t>
            </w:r>
          </w:p>
        </w:tc>
        <w:tc>
          <w:tcPr>
            <w:tcW w:w="935" w:type="dxa"/>
            <w:tcBorders>
              <w:top w:val="nil"/>
              <w:left w:val="nil"/>
              <w:bottom w:val="nil"/>
              <w:right w:val="nil"/>
              <w:tl2br w:val="nil"/>
              <w:tr2bl w:val="nil"/>
            </w:tcBorders>
            <w:vAlign w:val="center"/>
          </w:tcPr>
          <w:p w14:paraId="13DFF468">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11AFE611">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419DB11">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EF5DA3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8C05A6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659CC28">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DF9FC1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A48C4DE">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r>
      <w:tr w14:paraId="049AD522">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54FA7E57">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年份</w:t>
            </w: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城市</w:t>
            </w:r>
            <w:r>
              <w:rPr>
                <w:rFonts w:ascii="Times New Roman" w:hAnsi="Times New Roman" w:eastAsia="楷体" w:cs="Times New Roman"/>
                <w:color w:val="000000" w:themeColor="text1"/>
                <w:sz w:val="18"/>
                <w:szCs w:val="18"/>
                <w14:textFill>
                  <w14:solidFill>
                    <w14:schemeClr w14:val="tx1"/>
                  </w14:solidFill>
                </w14:textFill>
              </w:rPr>
              <w:t>效应</w:t>
            </w:r>
          </w:p>
        </w:tc>
        <w:tc>
          <w:tcPr>
            <w:tcW w:w="935" w:type="dxa"/>
            <w:tcBorders>
              <w:top w:val="nil"/>
              <w:left w:val="nil"/>
              <w:bottom w:val="nil"/>
              <w:right w:val="nil"/>
              <w:tl2br w:val="nil"/>
              <w:tr2bl w:val="nil"/>
            </w:tcBorders>
            <w:vAlign w:val="center"/>
          </w:tcPr>
          <w:p w14:paraId="28CDB04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5EFE050">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E7D656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BA91D4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1D51159">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607542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6235422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30388D8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r>
      <w:tr w14:paraId="6915529E">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42EF1F57">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行业效应</w:t>
            </w:r>
          </w:p>
        </w:tc>
        <w:tc>
          <w:tcPr>
            <w:tcW w:w="935" w:type="dxa"/>
            <w:tcBorders>
              <w:top w:val="nil"/>
              <w:left w:val="nil"/>
              <w:bottom w:val="nil"/>
              <w:right w:val="nil"/>
              <w:tl2br w:val="nil"/>
              <w:tr2bl w:val="nil"/>
            </w:tcBorders>
            <w:vAlign w:val="center"/>
          </w:tcPr>
          <w:p w14:paraId="6A9229F7">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0460CF0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10F2573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vAlign w:val="center"/>
          </w:tcPr>
          <w:p w14:paraId="3C09C55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DE51A1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39278D2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3D5EB0A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4AB422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Y</w:t>
            </w:r>
          </w:p>
        </w:tc>
      </w:tr>
      <w:tr w14:paraId="667E4D14">
        <w:tblPrEx>
          <w:tblCellMar>
            <w:top w:w="0" w:type="dxa"/>
            <w:left w:w="0" w:type="dxa"/>
            <w:bottom w:w="0" w:type="dxa"/>
            <w:right w:w="0" w:type="dxa"/>
          </w:tblCellMar>
        </w:tblPrEx>
        <w:trPr>
          <w:jc w:val="center"/>
        </w:trPr>
        <w:tc>
          <w:tcPr>
            <w:tcW w:w="1871" w:type="dxa"/>
            <w:tcBorders>
              <w:top w:val="nil"/>
              <w:left w:val="nil"/>
              <w:bottom w:val="nil"/>
              <w:right w:val="nil"/>
              <w:tl2br w:val="nil"/>
              <w:tr2bl w:val="nil"/>
            </w:tcBorders>
          </w:tcPr>
          <w:p w14:paraId="720F54D5">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观测值</w:t>
            </w:r>
          </w:p>
        </w:tc>
        <w:tc>
          <w:tcPr>
            <w:tcW w:w="935" w:type="dxa"/>
            <w:tcBorders>
              <w:top w:val="nil"/>
              <w:left w:val="nil"/>
              <w:bottom w:val="nil"/>
              <w:right w:val="nil"/>
              <w:tl2br w:val="nil"/>
              <w:tr2bl w:val="nil"/>
            </w:tcBorders>
          </w:tcPr>
          <w:p w14:paraId="51365CA0">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7,488</w:t>
            </w:r>
          </w:p>
        </w:tc>
        <w:tc>
          <w:tcPr>
            <w:tcW w:w="935" w:type="dxa"/>
            <w:tcBorders>
              <w:top w:val="nil"/>
              <w:left w:val="nil"/>
              <w:bottom w:val="nil"/>
              <w:right w:val="nil"/>
              <w:tl2br w:val="nil"/>
              <w:tr2bl w:val="nil"/>
            </w:tcBorders>
          </w:tcPr>
          <w:p w14:paraId="2D8C39A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6,861</w:t>
            </w:r>
          </w:p>
        </w:tc>
        <w:tc>
          <w:tcPr>
            <w:tcW w:w="935" w:type="dxa"/>
            <w:tcBorders>
              <w:top w:val="nil"/>
              <w:left w:val="nil"/>
              <w:bottom w:val="nil"/>
              <w:right w:val="nil"/>
              <w:tl2br w:val="nil"/>
              <w:tr2bl w:val="nil"/>
            </w:tcBorders>
          </w:tcPr>
          <w:p w14:paraId="778D434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3,140</w:t>
            </w:r>
          </w:p>
        </w:tc>
        <w:tc>
          <w:tcPr>
            <w:tcW w:w="935" w:type="dxa"/>
            <w:tcBorders>
              <w:top w:val="nil"/>
              <w:left w:val="nil"/>
              <w:bottom w:val="nil"/>
              <w:right w:val="nil"/>
              <w:tl2br w:val="nil"/>
              <w:tr2bl w:val="nil"/>
            </w:tcBorders>
          </w:tcPr>
          <w:p w14:paraId="015A61F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1,133</w:t>
            </w:r>
          </w:p>
        </w:tc>
        <w:tc>
          <w:tcPr>
            <w:tcW w:w="935" w:type="dxa"/>
            <w:tcBorders>
              <w:top w:val="nil"/>
              <w:left w:val="nil"/>
              <w:bottom w:val="nil"/>
              <w:right w:val="nil"/>
              <w:tl2br w:val="nil"/>
              <w:tr2bl w:val="nil"/>
            </w:tcBorders>
          </w:tcPr>
          <w:p w14:paraId="036E2279">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7,569</w:t>
            </w:r>
          </w:p>
        </w:tc>
        <w:tc>
          <w:tcPr>
            <w:tcW w:w="935" w:type="dxa"/>
            <w:tcBorders>
              <w:top w:val="nil"/>
              <w:left w:val="nil"/>
              <w:bottom w:val="nil"/>
              <w:right w:val="nil"/>
              <w:tl2br w:val="nil"/>
              <w:tr2bl w:val="nil"/>
            </w:tcBorders>
          </w:tcPr>
          <w:p w14:paraId="332D1D3A">
            <w:pPr>
              <w:jc w:val="center"/>
              <w:rPr>
                <w:rFonts w:hint="default" w:ascii="Times New Roman" w:hAnsi="Times New Roman" w:eastAsia="楷体" w:cs="Times New Roman"/>
                <w:color w:val="000000" w:themeColor="text1"/>
                <w:sz w:val="18"/>
                <w:szCs w:val="18"/>
                <w:lang w:val="en-US" w:eastAsia="zh-CN"/>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7,5</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73</w:t>
            </w:r>
          </w:p>
        </w:tc>
        <w:tc>
          <w:tcPr>
            <w:tcW w:w="935" w:type="dxa"/>
            <w:tcBorders>
              <w:top w:val="nil"/>
              <w:left w:val="nil"/>
              <w:bottom w:val="nil"/>
              <w:right w:val="nil"/>
              <w:tl2br w:val="nil"/>
              <w:tr2bl w:val="nil"/>
            </w:tcBorders>
          </w:tcPr>
          <w:p w14:paraId="64C711E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6,591</w:t>
            </w:r>
          </w:p>
        </w:tc>
        <w:tc>
          <w:tcPr>
            <w:tcW w:w="935" w:type="dxa"/>
            <w:tcBorders>
              <w:top w:val="nil"/>
              <w:left w:val="nil"/>
              <w:bottom w:val="nil"/>
              <w:right w:val="nil"/>
              <w:tl2br w:val="nil"/>
              <w:tr2bl w:val="nil"/>
            </w:tcBorders>
          </w:tcPr>
          <w:p w14:paraId="440748BD">
            <w:pPr>
              <w:jc w:val="center"/>
              <w:rPr>
                <w:rFonts w:hint="default" w:ascii="Times New Roman" w:hAnsi="Times New Roman" w:eastAsia="楷体" w:cs="Times New Roman"/>
                <w:color w:val="000000" w:themeColor="text1"/>
                <w:sz w:val="18"/>
                <w:szCs w:val="18"/>
                <w:lang w:val="en-US" w:eastAsia="zh-CN"/>
                <w14:textFill>
                  <w14:solidFill>
                    <w14:schemeClr w14:val="tx1"/>
                  </w14:solidFill>
                </w14:textFill>
              </w:rPr>
            </w:pPr>
            <w:r>
              <w:rPr>
                <w:rFonts w:hint="eastAsia" w:ascii="Times New Roman" w:hAnsi="Times New Roman" w:eastAsia="楷体" w:cs="Times New Roman"/>
                <w:color w:val="000000" w:themeColor="text1"/>
                <w:sz w:val="18"/>
                <w:szCs w:val="18"/>
                <w:lang w:val="en-US" w:eastAsia="zh-CN"/>
                <w14:textFill>
                  <w14:solidFill>
                    <w14:schemeClr w14:val="tx1"/>
                  </w14:solidFill>
                </w14:textFill>
              </w:rPr>
              <w:t>4,797</w:t>
            </w:r>
          </w:p>
        </w:tc>
      </w:tr>
      <w:tr w14:paraId="5234D7E7">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871" w:type="dxa"/>
            <w:tcBorders>
              <w:top w:val="nil"/>
              <w:left w:val="nil"/>
              <w:bottom w:val="single" w:color="auto" w:sz="8" w:space="0"/>
              <w:right w:val="nil"/>
              <w:tl2br w:val="nil"/>
              <w:tr2bl w:val="nil"/>
            </w:tcBorders>
          </w:tcPr>
          <w:p w14:paraId="165FF0FA">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R</w:t>
            </w:r>
            <w:r>
              <w:rPr>
                <w:rFonts w:ascii="Times New Roman" w:hAnsi="Times New Roman" w:eastAsia="楷体" w:cs="Times New Roman"/>
                <w:color w:val="000000" w:themeColor="text1"/>
                <w:sz w:val="18"/>
                <w:szCs w:val="18"/>
                <w:vertAlign w:val="superscript"/>
                <w14:textFill>
                  <w14:solidFill>
                    <w14:schemeClr w14:val="tx1"/>
                  </w14:solidFill>
                </w14:textFill>
              </w:rPr>
              <w:t>2</w:t>
            </w:r>
            <w:r>
              <w:rPr>
                <w:rFonts w:hint="eastAsia" w:ascii="Times New Roman" w:hAnsi="Times New Roman" w:eastAsia="楷体" w:cs="Times New Roman"/>
                <w:color w:val="000000" w:themeColor="text1"/>
                <w:sz w:val="18"/>
                <w:szCs w:val="18"/>
                <w14:textFill>
                  <w14:solidFill>
                    <w14:schemeClr w14:val="tx1"/>
                  </w14:solidFill>
                </w14:textFill>
              </w:rPr>
              <w:t>/F值</w:t>
            </w:r>
          </w:p>
        </w:tc>
        <w:tc>
          <w:tcPr>
            <w:tcW w:w="935" w:type="dxa"/>
            <w:tcBorders>
              <w:top w:val="nil"/>
              <w:left w:val="nil"/>
              <w:bottom w:val="single" w:color="auto" w:sz="8" w:space="0"/>
              <w:right w:val="nil"/>
              <w:tl2br w:val="nil"/>
              <w:tr2bl w:val="nil"/>
            </w:tcBorders>
          </w:tcPr>
          <w:p w14:paraId="79AC723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67A5DE0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614381BE">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0.992</w:t>
            </w:r>
          </w:p>
        </w:tc>
        <w:tc>
          <w:tcPr>
            <w:tcW w:w="935" w:type="dxa"/>
            <w:tcBorders>
              <w:top w:val="nil"/>
              <w:left w:val="nil"/>
              <w:bottom w:val="single" w:color="auto" w:sz="8" w:space="0"/>
              <w:right w:val="nil"/>
              <w:tl2br w:val="nil"/>
              <w:tr2bl w:val="nil"/>
            </w:tcBorders>
          </w:tcPr>
          <w:p w14:paraId="75D52FA2">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0E916359">
            <w:pPr>
              <w:jc w:val="center"/>
              <w:rPr>
                <w:rFonts w:hint="default" w:ascii="Times New Roman" w:hAnsi="Times New Roman" w:eastAsia="楷体" w:cs="Times New Roman"/>
                <w:color w:val="000000" w:themeColor="text1"/>
                <w:sz w:val="18"/>
                <w:szCs w:val="18"/>
                <w:lang w:val="en-US" w:eastAsia="zh-CN"/>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2</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2</w:t>
            </w:r>
            <w:r>
              <w:rPr>
                <w:rFonts w:hint="eastAsia"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lang w:val="en-US" w:eastAsia="zh-CN"/>
                <w14:textFill>
                  <w14:solidFill>
                    <w14:schemeClr w14:val="tx1"/>
                  </w14:solidFill>
                </w14:textFill>
              </w:rPr>
              <w:t>433</w:t>
            </w:r>
          </w:p>
        </w:tc>
        <w:tc>
          <w:tcPr>
            <w:tcW w:w="935" w:type="dxa"/>
            <w:tcBorders>
              <w:top w:val="nil"/>
              <w:left w:val="nil"/>
              <w:bottom w:val="single" w:color="auto" w:sz="8" w:space="0"/>
              <w:right w:val="nil"/>
              <w:tl2br w:val="nil"/>
              <w:tr2bl w:val="nil"/>
            </w:tcBorders>
          </w:tcPr>
          <w:p w14:paraId="7A9D0CC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0.006</w:t>
            </w:r>
          </w:p>
        </w:tc>
        <w:tc>
          <w:tcPr>
            <w:tcW w:w="935" w:type="dxa"/>
            <w:tcBorders>
              <w:top w:val="nil"/>
              <w:left w:val="nil"/>
              <w:bottom w:val="single" w:color="auto" w:sz="8" w:space="0"/>
              <w:right w:val="nil"/>
              <w:tl2br w:val="nil"/>
              <w:tr2bl w:val="nil"/>
            </w:tcBorders>
          </w:tcPr>
          <w:p w14:paraId="7600C22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0.99</w:t>
            </w:r>
            <w:r>
              <w:rPr>
                <w:rFonts w:hint="eastAsia" w:ascii="Times New Roman" w:hAnsi="Times New Roman" w:eastAsia="楷体" w:cs="Times New Roman"/>
                <w:color w:val="000000" w:themeColor="text1"/>
                <w:sz w:val="18"/>
                <w:szCs w:val="18"/>
                <w14:textFill>
                  <w14:solidFill>
                    <w14:schemeClr w14:val="tx1"/>
                  </w14:solidFill>
                </w14:textFill>
              </w:rPr>
              <w:t>6</w:t>
            </w:r>
          </w:p>
        </w:tc>
        <w:tc>
          <w:tcPr>
            <w:tcW w:w="935" w:type="dxa"/>
            <w:tcBorders>
              <w:top w:val="nil"/>
              <w:left w:val="nil"/>
              <w:bottom w:val="single" w:color="auto" w:sz="8" w:space="0"/>
              <w:right w:val="nil"/>
              <w:tl2br w:val="nil"/>
              <w:tr2bl w:val="nil"/>
            </w:tcBorders>
          </w:tcPr>
          <w:p w14:paraId="1626310F">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w:t>
            </w:r>
          </w:p>
        </w:tc>
      </w:tr>
    </w:tbl>
    <w:p w14:paraId="647C49A5">
      <w:pPr>
        <w:shd w:val="clear"/>
        <w:ind w:firstLine="360" w:firstLineChars="200"/>
        <w:rPr>
          <w:rFonts w:hint="eastAsia" w:ascii="宋体" w:hAnsi="宋体" w:eastAsia="宋体" w:cs="Times New Roman"/>
          <w:szCs w:val="21"/>
        </w:rPr>
      </w:pPr>
      <w:r>
        <w:rPr>
          <w:rFonts w:ascii="黑体" w:hAnsi="黑体" w:eastAsia="黑体" w:cs="黑体"/>
          <w:sz w:val="18"/>
          <w:szCs w:val="18"/>
        </w:rPr>
        <w:t>注：</w:t>
      </w:r>
      <w:r>
        <w:rPr>
          <w:rFonts w:ascii="Times New Roman" w:hAnsi="Times New Roman" w:eastAsia="楷体" w:cs="Times New Roman"/>
          <w:sz w:val="18"/>
          <w:szCs w:val="18"/>
        </w:rPr>
        <w:t>控制变量</w:t>
      </w:r>
      <w:r>
        <w:rPr>
          <w:rFonts w:hint="eastAsia" w:ascii="Times New Roman" w:hAnsi="Times New Roman" w:eastAsia="楷体" w:cs="Times New Roman"/>
          <w:sz w:val="18"/>
          <w:szCs w:val="18"/>
        </w:rPr>
        <w:t>为</w:t>
      </w:r>
      <w:r>
        <w:rPr>
          <w:rFonts w:ascii="Times New Roman" w:hAnsi="Times New Roman" w:eastAsia="楷体" w:cs="Times New Roman"/>
          <w:sz w:val="18"/>
          <w:szCs w:val="18"/>
        </w:rPr>
        <w:t>基准模型</w:t>
      </w:r>
      <w:r>
        <w:rPr>
          <w:rFonts w:hint="eastAsia" w:ascii="Times New Roman" w:hAnsi="Times New Roman" w:eastAsia="楷体" w:cs="Times New Roman"/>
          <w:sz w:val="18"/>
          <w:szCs w:val="18"/>
        </w:rPr>
        <w:t>中提及的变量，下同</w:t>
      </w:r>
      <w:r>
        <w:rPr>
          <w:rFonts w:ascii="Times New Roman" w:hAnsi="Times New Roman" w:eastAsia="楷体" w:cs="Times New Roman"/>
          <w:sz w:val="18"/>
          <w:szCs w:val="18"/>
        </w:rPr>
        <w:t>。</w:t>
      </w:r>
      <w:r>
        <w:rPr>
          <w:rFonts w:hint="eastAsia" w:ascii="Times New Roman" w:hAnsi="Times New Roman" w:eastAsia="楷体" w:cs="Times New Roman"/>
          <w:sz w:val="18"/>
          <w:szCs w:val="18"/>
        </w:rPr>
        <w:t>创新活动变量集包括企业研发资本存量与流量，市场势力变量集包括企业毛利率与同区县其他企业研发资本存量，管理团队特征变量集包括企业董监高团队毕业院校中涉及的高校与专业数。第（4）列为PSM-DID结果。第（5）、（6）列为工具变量法第一、二阶段结果。第（7）、（8）列为Sun</w:t>
      </w:r>
      <w:r>
        <w:rPr>
          <w:rFonts w:hint="eastAsia" w:ascii="Times New Roman" w:hAnsi="Times New Roman" w:eastAsia="楷体" w:cs="Times New Roman"/>
          <w:sz w:val="18"/>
          <w:szCs w:val="18"/>
          <w:lang w:val="en-US" w:eastAsia="zh-CN"/>
        </w:rPr>
        <w:t>和</w:t>
      </w:r>
      <w:r>
        <w:rPr>
          <w:rFonts w:hint="eastAsia" w:ascii="Times New Roman" w:hAnsi="Times New Roman" w:eastAsia="楷体" w:cs="Times New Roman"/>
          <w:sz w:val="18"/>
          <w:szCs w:val="18"/>
        </w:rPr>
        <w:t>Abraham（2021）异质性事件分析法</w:t>
      </w:r>
      <w:r>
        <w:rPr>
          <w:rFonts w:hint="eastAsia" w:ascii="Times New Roman" w:hAnsi="Times New Roman" w:eastAsia="楷体" w:cs="Times New Roman"/>
          <w:sz w:val="18"/>
          <w:szCs w:val="18"/>
          <w:lang w:eastAsia="zh-CN"/>
        </w:rPr>
        <w:t>（</w:t>
      </w:r>
      <w:r>
        <w:rPr>
          <w:rFonts w:hint="eastAsia" w:ascii="Times New Roman" w:hAnsi="Times New Roman" w:eastAsia="楷体" w:cs="Times New Roman"/>
          <w:sz w:val="18"/>
          <w:szCs w:val="18"/>
        </w:rPr>
        <w:t>eventstudyinteract</w:t>
      </w:r>
      <w:r>
        <w:rPr>
          <w:rFonts w:hint="eastAsia" w:ascii="Times New Roman" w:hAnsi="Times New Roman" w:eastAsia="楷体" w:cs="Times New Roman"/>
          <w:sz w:val="18"/>
          <w:szCs w:val="18"/>
          <w:lang w:eastAsia="zh-CN"/>
        </w:rPr>
        <w:t>）</w:t>
      </w:r>
      <w:r>
        <w:rPr>
          <w:rFonts w:hint="eastAsia" w:ascii="Times New Roman" w:hAnsi="Times New Roman" w:eastAsia="楷体" w:cs="Times New Roman"/>
          <w:sz w:val="18"/>
          <w:szCs w:val="18"/>
        </w:rPr>
        <w:t>与Callaway</w:t>
      </w:r>
      <w:r>
        <w:rPr>
          <w:rFonts w:hint="eastAsia" w:ascii="Times New Roman" w:hAnsi="Times New Roman" w:eastAsia="楷体" w:cs="Times New Roman"/>
          <w:sz w:val="18"/>
          <w:szCs w:val="18"/>
          <w:lang w:val="en-US" w:eastAsia="zh-CN"/>
        </w:rPr>
        <w:t>和</w:t>
      </w:r>
      <w:r>
        <w:rPr>
          <w:rFonts w:hint="eastAsia" w:ascii="Times New Roman" w:hAnsi="Times New Roman" w:eastAsia="楷体" w:cs="Times New Roman"/>
          <w:sz w:val="18"/>
          <w:szCs w:val="18"/>
        </w:rPr>
        <w:t>Sant</w:t>
      </w: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sz w:val="18"/>
          <w:szCs w:val="18"/>
        </w:rPr>
        <w:t>Anna（2021）方法的异质性处理效应</w:t>
      </w:r>
      <w:r>
        <w:rPr>
          <w:rFonts w:hint="eastAsia" w:ascii="Times New Roman" w:hAnsi="Times New Roman" w:eastAsia="楷体" w:cs="Times New Roman"/>
          <w:sz w:val="18"/>
          <w:szCs w:val="18"/>
          <w:lang w:eastAsia="zh-CN"/>
        </w:rPr>
        <w:t>（</w:t>
      </w:r>
      <w:r>
        <w:rPr>
          <w:rFonts w:hint="eastAsia" w:ascii="Times New Roman" w:hAnsi="Times New Roman" w:eastAsia="楷体" w:cs="Times New Roman"/>
          <w:sz w:val="18"/>
          <w:szCs w:val="18"/>
          <w:lang w:val="en-US" w:eastAsia="zh-CN"/>
        </w:rPr>
        <w:t>csdid</w:t>
      </w:r>
      <w:r>
        <w:rPr>
          <w:rFonts w:hint="eastAsia" w:ascii="Times New Roman" w:hAnsi="Times New Roman" w:eastAsia="楷体" w:cs="Times New Roman"/>
          <w:sz w:val="18"/>
          <w:szCs w:val="18"/>
          <w:lang w:eastAsia="zh-CN"/>
        </w:rPr>
        <w:t>）</w:t>
      </w:r>
      <w:r>
        <w:rPr>
          <w:rFonts w:hint="eastAsia" w:ascii="Times New Roman" w:hAnsi="Times New Roman" w:eastAsia="楷体" w:cs="Times New Roman"/>
          <w:sz w:val="18"/>
          <w:szCs w:val="18"/>
        </w:rPr>
        <w:t>估计结果。</w:t>
      </w:r>
    </w:p>
    <w:p w14:paraId="03EA7739">
      <w:pPr>
        <w:shd w:val="clear"/>
        <w:ind w:firstLine="420" w:firstLineChars="200"/>
        <w:rPr>
          <w:rFonts w:hint="eastAsia" w:ascii="黑体" w:hAnsi="黑体" w:eastAsia="黑体" w:cs="黑体"/>
          <w:szCs w:val="21"/>
          <w:lang w:bidi="ar"/>
        </w:rPr>
      </w:pPr>
    </w:p>
    <w:p w14:paraId="3A8FF837">
      <w:pPr>
        <w:shd w:val="clear"/>
        <w:ind w:firstLine="420" w:firstLineChars="200"/>
        <w:rPr>
          <w:rFonts w:hint="default" w:ascii="黑体" w:hAnsi="黑体" w:eastAsia="黑体" w:cs="黑体"/>
          <w:szCs w:val="21"/>
          <w:lang w:val="en-US" w:eastAsia="zh-CN" w:bidi="ar"/>
        </w:rPr>
      </w:pPr>
      <w:r>
        <w:rPr>
          <w:rFonts w:hint="eastAsia" w:ascii="黑体" w:hAnsi="黑体" w:eastAsia="黑体" w:cs="黑体"/>
          <w:szCs w:val="21"/>
          <w:lang w:bidi="ar"/>
        </w:rPr>
        <w:t>(</w:t>
      </w:r>
      <w:r>
        <w:rPr>
          <w:rFonts w:hint="eastAsia" w:ascii="黑体" w:hAnsi="黑体" w:eastAsia="黑体" w:cs="黑体"/>
          <w:szCs w:val="21"/>
          <w:lang w:val="en-US" w:eastAsia="zh-CN" w:bidi="ar"/>
        </w:rPr>
        <w:t>三</w:t>
      </w:r>
      <w:r>
        <w:rPr>
          <w:rFonts w:hint="eastAsia" w:ascii="黑体" w:hAnsi="黑体" w:eastAsia="黑体" w:cs="黑体"/>
          <w:szCs w:val="21"/>
          <w:lang w:bidi="ar"/>
        </w:rPr>
        <w:t>)</w:t>
      </w:r>
      <w:r>
        <w:rPr>
          <w:rFonts w:hint="eastAsia" w:ascii="黑体" w:hAnsi="黑体" w:eastAsia="黑体" w:cs="黑体"/>
          <w:szCs w:val="21"/>
          <w:lang w:val="en-US" w:eastAsia="zh-CN" w:bidi="ar"/>
        </w:rPr>
        <w:t>稳健性分析——额外的检验</w:t>
      </w:r>
    </w:p>
    <w:p w14:paraId="3352E90B">
      <w:pPr>
        <w:ind w:firstLine="42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此外，我们进一步通过变换估计样本与变量设置，做出额外的稳健性检验。对于变换估计样本：一方面，我们扩大样本范围以缓解数据清洗带来的可能偏误，分别将地处未设置过开发区区县的企业样本，以及地处直辖市等领先地区的前两批高新区区县企业样本（前两批高新区分别设立于1988年与1991年）纳入回归。另一方面，我们缩小样本范围以减轻企业主动选择对于估计结果的影响，通过剔除在观测期间发生过</w:t>
      </w:r>
      <w:r>
        <w:rPr>
          <w:rFonts w:ascii="Times New Roman" w:hAnsi="Times New Roman" w:cs="Times New Roman"/>
          <w:color w:val="000000" w:themeColor="text1"/>
          <w14:textFill>
            <w14:solidFill>
              <w14:schemeClr w14:val="tx1"/>
            </w14:solidFill>
          </w14:textFill>
        </w:rPr>
        <w:t>行业与地区</w:t>
      </w:r>
      <w:r>
        <w:rPr>
          <w:rFonts w:hint="eastAsia" w:ascii="Times New Roman" w:hAnsi="Times New Roman" w:cs="Times New Roman"/>
          <w:color w:val="000000" w:themeColor="text1"/>
          <w14:textFill>
            <w14:solidFill>
              <w14:schemeClr w14:val="tx1"/>
            </w14:solidFill>
          </w14:textFill>
        </w:rPr>
        <w:t>变换的企业样本做出检验。三组数据的检验结果见</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2</w:t>
      </w:r>
      <w:r>
        <w:rPr>
          <w:rFonts w:hint="eastAsia" w:ascii="Times New Roman" w:hAnsi="Times New Roman" w:cs="Times New Roman"/>
          <w:color w:val="000000" w:themeColor="text1"/>
          <w14:textFill>
            <w14:solidFill>
              <w14:schemeClr w14:val="tx1"/>
            </w14:solidFill>
          </w14:textFill>
        </w:rPr>
        <w:t>前三列，均保持稳健。</w:t>
      </w:r>
    </w:p>
    <w:p w14:paraId="70929B16">
      <w:pPr>
        <w:ind w:firstLine="42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对于变换变量设置：第（4）、（5）列通过变化核心解释变量做出分析，前者依据高新区层级将其拆分为国家级与省级</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进行回归，系数保持稳健，不同层级的高新区均能促进知识溢出接收；后者参考张杰等（2021）的做法，根据企业地址设置企业是否位于园区内的虚拟变量，将该虚拟变量及其与核心解释变量的交互项纳入回归，所得结果稳健，高新区对于整个区县的企业均存在增益，影响不局限于</w:t>
      </w:r>
      <w:r>
        <w:rPr>
          <w:rFonts w:hint="eastAsia" w:ascii="Times New Roman" w:hAnsi="Times New Roman" w:cs="Times New Roman"/>
          <w:color w:val="000000" w:themeColor="text1"/>
          <w:lang w:val="en-US" w:eastAsia="zh-CN"/>
          <w14:textFill>
            <w14:solidFill>
              <w14:schemeClr w14:val="tx1"/>
            </w14:solidFill>
          </w14:textFill>
        </w:rPr>
        <w:t>高新区</w:t>
      </w:r>
      <w:bookmarkStart w:id="0" w:name="_GoBack"/>
      <w:bookmarkEnd w:id="0"/>
      <w:r>
        <w:rPr>
          <w:rFonts w:hint="eastAsia" w:ascii="Times New Roman" w:hAnsi="Times New Roman" w:cs="Times New Roman"/>
          <w:color w:val="000000" w:themeColor="text1"/>
          <w14:textFill>
            <w14:solidFill>
              <w14:schemeClr w14:val="tx1"/>
            </w14:solidFill>
          </w14:textFill>
        </w:rPr>
        <w:t>内</w:t>
      </w:r>
      <w:r>
        <w:rPr>
          <w:rStyle w:val="5"/>
          <w:rFonts w:hint="eastAsia" w:ascii="Times New Roman" w:hAnsi="Times New Roman" w:cs="Times New Roman"/>
          <w:color w:val="000000" w:themeColor="text1"/>
          <w14:textFill>
            <w14:solidFill>
              <w14:schemeClr w14:val="tx1"/>
            </w14:solidFill>
          </w14:textFill>
        </w:rPr>
        <w:footnoteReference w:id="1"/>
      </w:r>
      <w:r>
        <w:rPr>
          <w:rFonts w:hint="eastAsia" w:ascii="Times New Roman" w:hAnsi="Times New Roman" w:cs="Times New Roman"/>
          <w:color w:val="000000" w:themeColor="text1"/>
          <w14:textFill>
            <w14:solidFill>
              <w14:schemeClr w14:val="tx1"/>
            </w14:solidFill>
          </w14:textFill>
        </w:rPr>
        <w:t>。</w:t>
      </w:r>
    </w:p>
    <w:p w14:paraId="5486E90E">
      <w:pPr>
        <w:ind w:firstLine="420"/>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后三列则重新设置被解释变量，结合上文匹配所得样本重复估计。</w:t>
      </w:r>
      <w:r>
        <w:rPr>
          <w:rFonts w:hint="eastAsia" w:ascii="Times New Roman" w:hAnsi="Times New Roman" w:cs="Times New Roman"/>
          <w:color w:val="000000" w:themeColor="text1"/>
          <w:lang w:val="en-US" w:eastAsia="zh-CN"/>
          <w14:textFill>
            <w14:solidFill>
              <w14:schemeClr w14:val="tx1"/>
            </w14:solidFill>
          </w14:textFill>
        </w:rPr>
        <w:t>对于后三列被解释变量的设置，原文被解释变量</w:t>
      </w:r>
      <w:r>
        <w:rPr>
          <w:rFonts w:hint="eastAsia" w:ascii="Times New Roman" w:hAnsi="Times New Roman" w:cs="Times New Roman"/>
          <w:color w:val="000000" w:themeColor="text1"/>
          <w14:textFill>
            <w14:solidFill>
              <w14:schemeClr w14:val="tx1"/>
            </w14:solidFill>
          </w14:textFill>
        </w:rPr>
        <w:t>在计算中假定了知识溢出仅发生在同一技术领域（</w:t>
      </w:r>
      <w:r>
        <w:rPr>
          <w:rFonts w:ascii="Times New Roman" w:hAnsi="Times New Roman" w:cs="Times New Roman"/>
          <w:color w:val="000000" w:themeColor="text1"/>
          <w14:textFill>
            <w14:solidFill>
              <w14:schemeClr w14:val="tx1"/>
            </w14:solidFill>
          </w14:textFill>
        </w:rPr>
        <w:t>Bloom</w:t>
      </w:r>
      <w:r>
        <w:rPr>
          <w:rFonts w:hint="eastAsia" w:ascii="Times New Roman" w:hAnsi="Times New Roman" w:cs="Times New Roman"/>
          <w:color w:val="000000" w:themeColor="text1"/>
          <w14:textFill>
            <w14:solidFill>
              <w14:schemeClr w14:val="tx1"/>
            </w14:solidFill>
          </w14:textFill>
        </w:rPr>
        <w:t xml:space="preserve"> et al.，2013），由此可能存在两个问题</w:t>
      </w:r>
      <w:r>
        <w:rPr>
          <w:rFonts w:hint="eastAsia" w:ascii="Times New Roman" w:hAnsi="Times New Roman"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一是无法识别跨领域溢出，二是假定了企业对于不同类型、不同位置知识的接收概率一致。为此，我们做出如下尝试：一是使用样本中单个企业涉及的IPC大类数与整体企业平均涉及的IPC大类数之比识别企业跨领域知识溢出接收能力（对于企业</w:t>
      </w:r>
      <w:r>
        <w:rPr>
          <w:rFonts w:hint="eastAsia" w:ascii="Times New Roman" w:hAnsi="Times New Roman" w:cs="Times New Roman"/>
          <w:i/>
          <w:iCs/>
          <w:color w:val="000000" w:themeColor="text1"/>
          <w14:textFill>
            <w14:solidFill>
              <w14:schemeClr w14:val="tx1"/>
            </w14:solidFill>
          </w14:textFill>
        </w:rPr>
        <w:t>i</w:t>
      </w: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i/>
          <w:iCs/>
          <w:color w:val="000000" w:themeColor="text1"/>
          <w14:textFill>
            <w14:solidFill>
              <w14:schemeClr w14:val="tx1"/>
            </w14:solidFill>
          </w14:textFill>
        </w:rPr>
        <w:t>j</w:t>
      </w:r>
      <w:r>
        <w:rPr>
          <w:rFonts w:hint="eastAsia" w:ascii="Times New Roman" w:hAnsi="Times New Roman" w:cs="Times New Roman"/>
          <w:color w:val="000000" w:themeColor="text1"/>
          <w14:textFill>
            <w14:solidFill>
              <w14:schemeClr w14:val="tx1"/>
            </w14:solidFill>
          </w14:textFill>
        </w:rPr>
        <w:t>，两者涉及的IPC大类数均有影响，故有</w:t>
      </w:r>
      <m:oMath>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iCs/>
                <w:color w:val="000000" w:themeColor="text1"/>
                <w14:textFill>
                  <w14:solidFill>
                    <w14:schemeClr w14:val="tx1"/>
                  </w14:solidFill>
                </w14:textFill>
              </w:rPr>
            </m:ctrlPr>
          </m:sub>
        </m:sSub>
        <m:r>
          <m:rPr/>
          <w:rPr>
            <w:rFonts w:hint="eastAsia" w:ascii="Cambria Math" w:hAnsi="Cambria Math" w:cs="Times New Roman"/>
            <w:color w:val="000000" w:themeColor="text1"/>
            <w14:textFill>
              <w14:solidFill>
                <w14:schemeClr w14:val="tx1"/>
              </w14:solidFill>
            </w14:textFill>
          </w:rPr>
          <m:t>=</m:t>
        </m:r>
        <m:d>
          <m:dPr>
            <m:ctrlPr>
              <w:rPr>
                <w:rFonts w:hint="eastAsia" w:ascii="Cambria Math" w:hAnsi="Cambria Math" w:cs="Times New Roman"/>
                <w:i/>
                <w:color w:val="000000" w:themeColor="text1"/>
                <w14:textFill>
                  <w14:solidFill>
                    <w14:schemeClr w14:val="tx1"/>
                  </w14:solidFill>
                </w14:textFill>
              </w:rPr>
            </m:ctrlPr>
          </m:dPr>
          <m:e>
            <m:nary>
              <m:naryPr>
                <m:chr m:val="∑"/>
                <m:limLoc m:val="subSup"/>
                <m:ctrlPr>
                  <w:rPr>
                    <w:rFonts w:hint="eastAsia" w:ascii="Cambria Math" w:hAnsi="Cambria Math" w:cs="Times New Roman"/>
                    <w:i/>
                    <w:iCs/>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iCs/>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iCs/>
                    <w:color w:val="000000" w:themeColor="text1"/>
                    <w14:textFill>
                      <w14:solidFill>
                        <w14:schemeClr w14:val="tx1"/>
                      </w14:solidFill>
                    </w14:textFill>
                  </w:rPr>
                </m:ctrlPr>
              </m:sup>
              <m:e>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hint="eastAsia" w:ascii="Cambria Math" w:hAnsi="Cambria Math" w:cs="Times New Roman"/>
                        <w:i/>
                        <w:iCs/>
                        <w:color w:val="000000" w:themeColor="text1"/>
                        <w14:textFill>
                          <w14:solidFill>
                            <w14:schemeClr w14:val="tx1"/>
                          </w14:solidFill>
                        </w14:textFill>
                      </w:rPr>
                    </m:ctrlPr>
                  </m:sub>
                </m:sSub>
                <m:ctrlPr>
                  <w:rPr>
                    <w:rFonts w:hint="eastAsia" w:ascii="Cambria Math" w:hAnsi="Cambria Math" w:cs="Times New Roman"/>
                    <w:i/>
                    <w:iCs/>
                    <w:color w:val="000000" w:themeColor="text1"/>
                    <w14:textFill>
                      <w14:solidFill>
                        <w14:schemeClr w14:val="tx1"/>
                      </w14:solidFill>
                    </w14:textFill>
                  </w:rPr>
                </m:ctrlPr>
              </m:e>
            </m:nary>
            <m:r>
              <m:rPr/>
              <w:rPr>
                <w:rFonts w:ascii="Cambria Math" w:hAnsi="Cambria Math" w:cs="Times New Roman"/>
                <w:color w:val="000000" w:themeColor="text1"/>
                <w14:textFill>
                  <w14:solidFill>
                    <w14:schemeClr w14:val="tx1"/>
                  </w14:solidFill>
                </w14:textFill>
              </w:rPr>
              <m:t>/</m:t>
            </m:r>
            <m:d>
              <m:dPr>
                <m:ctrlPr>
                  <w:rPr>
                    <w:rFonts w:ascii="Cambria Math" w:hAnsi="Cambria Math" w:cs="Times New Roman"/>
                    <w:i/>
                    <w:iCs/>
                    <w:color w:val="000000" w:themeColor="text1"/>
                    <w14:textFill>
                      <w14:solidFill>
                        <w14:schemeClr w14:val="tx1"/>
                      </w14:solidFill>
                    </w14:textFill>
                  </w:rPr>
                </m:ctrlPr>
              </m:dPr>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N</m:t>
                    </m:r>
                    <m:ctrlPr>
                      <w:rPr>
                        <w:rFonts w:hint="eastAsia" w:ascii="Cambria Math" w:hAnsi="Cambria Math" w:cs="Times New Roman"/>
                        <w:i/>
                        <w:color w:val="000000" w:themeColor="text1"/>
                        <w14:textFill>
                          <w14:solidFill>
                            <w14:schemeClr w14:val="tx1"/>
                          </w14:solidFill>
                        </w14:textFill>
                      </w:rPr>
                    </m:ctrlPr>
                  </m:sup>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color w:val="000000" w:themeColor="text1"/>
                            <w14:textFill>
                              <w14:solidFill>
                                <w14:schemeClr w14:val="tx1"/>
                              </w14:solidFill>
                            </w14:textFill>
                          </w:rPr>
                        </m:ctrlPr>
                      </m:sup>
                      <m:e>
                        <m:sSub>
                          <m:sSubPr>
                            <m:ctrlPr>
                              <w:rPr>
                                <w:rFonts w:hint="eastAsia"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hint="eastAsia" w:ascii="Cambria Math" w:hAnsi="Cambria Math" w:cs="Times New Roman"/>
                                <w:i/>
                                <w:color w:val="000000" w:themeColor="text1"/>
                                <w14:textFill>
                                  <w14:solidFill>
                                    <w14:schemeClr w14:val="tx1"/>
                                  </w14:solidFill>
                                </w14:textFill>
                              </w:rPr>
                            </m:ctrlPr>
                          </m:sub>
                        </m:sSub>
                        <m:ctrlPr>
                          <w:rPr>
                            <w:rFonts w:hint="eastAsia" w:ascii="Cambria Math" w:hAnsi="Cambria Math" w:cs="Times New Roman"/>
                            <w:i/>
                            <w:color w:val="000000" w:themeColor="text1"/>
                            <w14:textFill>
                              <w14:solidFill>
                                <w14:schemeClr w14:val="tx1"/>
                              </w14:solidFill>
                            </w14:textFill>
                          </w:rPr>
                        </m:ctrlPr>
                      </m:e>
                    </m:nary>
                    <m:ctrlPr>
                      <w:rPr>
                        <w:rFonts w:hint="eastAsia" w:ascii="Cambria Math" w:hAnsi="Cambria Math" w:cs="Times New Roman"/>
                        <w:i/>
                        <w:color w:val="000000" w:themeColor="text1"/>
                        <w14:textFill>
                          <w14:solidFill>
                            <w14:schemeClr w14:val="tx1"/>
                          </w14:solidFill>
                        </w14:textFill>
                      </w:rPr>
                    </m:ctrlPr>
                  </m:e>
                </m:nary>
                <m:r>
                  <m:rPr/>
                  <w:rPr>
                    <w:rFonts w:ascii="Cambria Math" w:hAnsi="Cambria Math" w:cs="Times New Roman"/>
                    <w:color w:val="000000" w:themeColor="text1"/>
                    <w14:textFill>
                      <w14:solidFill>
                        <w14:schemeClr w14:val="tx1"/>
                      </w14:solidFill>
                    </w14:textFill>
                  </w:rPr>
                  <m:t>/N</m:t>
                </m:r>
                <m:ctrlPr>
                  <w:rPr>
                    <w:rFonts w:ascii="Cambria Math" w:hAnsi="Cambria Math" w:cs="Times New Roman"/>
                    <w:i/>
                    <w:iCs/>
                    <w:color w:val="000000" w:themeColor="text1"/>
                    <w14:textFill>
                      <w14:solidFill>
                        <w14:schemeClr w14:val="tx1"/>
                      </w14:solidFill>
                    </w14:textFill>
                  </w:rPr>
                </m:ctrlPr>
              </m:e>
            </m:d>
            <m:ctrlPr>
              <w:rPr>
                <w:rFonts w:hint="eastAsia" w:ascii="Cambria Math" w:hAnsi="Cambria Math" w:cs="Times New Roman"/>
                <w:i/>
                <w:color w:val="000000" w:themeColor="text1"/>
                <w14:textFill>
                  <w14:solidFill>
                    <w14:schemeClr w14:val="tx1"/>
                  </w14:solidFill>
                </w14:textFill>
              </w:rPr>
            </m:ctrlPr>
          </m:e>
        </m:d>
        <m:d>
          <m:dPr>
            <m:ctrlPr>
              <w:rPr>
                <w:rFonts w:hint="eastAsia" w:ascii="Cambria Math" w:hAnsi="Cambria Math" w:cs="Times New Roman"/>
                <w:i/>
                <w:color w:val="000000" w:themeColor="text1"/>
                <w14:textFill>
                  <w14:solidFill>
                    <w14:schemeClr w14:val="tx1"/>
                  </w14:solidFill>
                </w14:textFill>
              </w:rPr>
            </m:ctrlPr>
          </m:dPr>
          <m:e>
            <m:nary>
              <m:naryPr>
                <m:chr m:val="∑"/>
                <m:limLoc m:val="subSup"/>
                <m:ctrlPr>
                  <w:rPr>
                    <w:rFonts w:hint="eastAsia" w:ascii="Cambria Math" w:hAnsi="Cambria Math" w:cs="Times New Roman"/>
                    <w:i/>
                    <w:iCs/>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iCs/>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iCs/>
                    <w:color w:val="000000" w:themeColor="text1"/>
                    <w14:textFill>
                      <w14:solidFill>
                        <w14:schemeClr w14:val="tx1"/>
                      </w14:solidFill>
                    </w14:textFill>
                  </w:rPr>
                </m:ctrlPr>
              </m:sup>
              <m:e>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j</m:t>
                    </m:r>
                    <m:ctrlPr>
                      <w:rPr>
                        <w:rFonts w:hint="eastAsia" w:ascii="Cambria Math" w:hAnsi="Cambria Math" w:cs="Times New Roman"/>
                        <w:i/>
                        <w:iCs/>
                        <w:color w:val="000000" w:themeColor="text1"/>
                        <w14:textFill>
                          <w14:solidFill>
                            <w14:schemeClr w14:val="tx1"/>
                          </w14:solidFill>
                        </w14:textFill>
                      </w:rPr>
                    </m:ctrlPr>
                  </m:sub>
                </m:sSub>
                <m:ctrlPr>
                  <w:rPr>
                    <w:rFonts w:hint="eastAsia" w:ascii="Cambria Math" w:hAnsi="Cambria Math" w:cs="Times New Roman"/>
                    <w:i/>
                    <w:iCs/>
                    <w:color w:val="000000" w:themeColor="text1"/>
                    <w14:textFill>
                      <w14:solidFill>
                        <w14:schemeClr w14:val="tx1"/>
                      </w14:solidFill>
                    </w14:textFill>
                  </w:rPr>
                </m:ctrlPr>
              </m:e>
            </m:nary>
            <m:r>
              <m:rPr/>
              <w:rPr>
                <w:rFonts w:ascii="Cambria Math" w:hAnsi="Cambria Math" w:cs="Times New Roman"/>
                <w:color w:val="000000" w:themeColor="text1"/>
                <w14:textFill>
                  <w14:solidFill>
                    <w14:schemeClr w14:val="tx1"/>
                  </w14:solidFill>
                </w14:textFill>
              </w:rPr>
              <m:t>/</m:t>
            </m:r>
            <m:d>
              <m:dPr>
                <m:ctrlPr>
                  <w:rPr>
                    <w:rFonts w:ascii="Cambria Math" w:hAnsi="Cambria Math" w:cs="Times New Roman"/>
                    <w:i/>
                    <w:iCs/>
                    <w:color w:val="000000" w:themeColor="text1"/>
                    <w14:textFill>
                      <w14:solidFill>
                        <w14:schemeClr w14:val="tx1"/>
                      </w14:solidFill>
                    </w14:textFill>
                  </w:rPr>
                </m:ctrlPr>
              </m:dPr>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N</m:t>
                    </m:r>
                    <m:ctrlPr>
                      <w:rPr>
                        <w:rFonts w:hint="eastAsia" w:ascii="Cambria Math" w:hAnsi="Cambria Math" w:cs="Times New Roman"/>
                        <w:i/>
                        <w:color w:val="000000" w:themeColor="text1"/>
                        <w14:textFill>
                          <w14:solidFill>
                            <w14:schemeClr w14:val="tx1"/>
                          </w14:solidFill>
                        </w14:textFill>
                      </w:rPr>
                    </m:ctrlPr>
                  </m:sup>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color w:val="000000" w:themeColor="text1"/>
                            <w14:textFill>
                              <w14:solidFill>
                                <w14:schemeClr w14:val="tx1"/>
                              </w14:solidFill>
                            </w14:textFill>
                          </w:rPr>
                        </m:ctrlPr>
                      </m:sup>
                      <m:e>
                        <m:sSub>
                          <m:sSubPr>
                            <m:ctrlPr>
                              <w:rPr>
                                <w:rFonts w:hint="eastAsia"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j</m:t>
                            </m:r>
                            <m:ctrlPr>
                              <w:rPr>
                                <w:rFonts w:hint="eastAsia" w:ascii="Cambria Math" w:hAnsi="Cambria Math" w:cs="Times New Roman"/>
                                <w:i/>
                                <w:color w:val="000000" w:themeColor="text1"/>
                                <w14:textFill>
                                  <w14:solidFill>
                                    <w14:schemeClr w14:val="tx1"/>
                                  </w14:solidFill>
                                </w14:textFill>
                              </w:rPr>
                            </m:ctrlPr>
                          </m:sub>
                        </m:sSub>
                        <m:ctrlPr>
                          <w:rPr>
                            <w:rFonts w:hint="eastAsia" w:ascii="Cambria Math" w:hAnsi="Cambria Math" w:cs="Times New Roman"/>
                            <w:i/>
                            <w:color w:val="000000" w:themeColor="text1"/>
                            <w14:textFill>
                              <w14:solidFill>
                                <w14:schemeClr w14:val="tx1"/>
                              </w14:solidFill>
                            </w14:textFill>
                          </w:rPr>
                        </m:ctrlPr>
                      </m:e>
                    </m:nary>
                    <m:ctrlPr>
                      <w:rPr>
                        <w:rFonts w:hint="eastAsia" w:ascii="Cambria Math" w:hAnsi="Cambria Math" w:cs="Times New Roman"/>
                        <w:i/>
                        <w:color w:val="000000" w:themeColor="text1"/>
                        <w14:textFill>
                          <w14:solidFill>
                            <w14:schemeClr w14:val="tx1"/>
                          </w14:solidFill>
                        </w14:textFill>
                      </w:rPr>
                    </m:ctrlPr>
                  </m:e>
                </m:nary>
                <m:r>
                  <m:rPr/>
                  <w:rPr>
                    <w:rFonts w:ascii="Cambria Math" w:hAnsi="Cambria Math" w:cs="Times New Roman"/>
                    <w:color w:val="000000" w:themeColor="text1"/>
                    <w14:textFill>
                      <w14:solidFill>
                        <w14:schemeClr w14:val="tx1"/>
                      </w14:solidFill>
                    </w14:textFill>
                  </w:rPr>
                  <m:t>/N</m:t>
                </m:r>
                <m:ctrlPr>
                  <w:rPr>
                    <w:rFonts w:ascii="Cambria Math" w:hAnsi="Cambria Math" w:cs="Times New Roman"/>
                    <w:i/>
                    <w:iCs/>
                    <w:color w:val="000000" w:themeColor="text1"/>
                    <w14:textFill>
                      <w14:solidFill>
                        <w14:schemeClr w14:val="tx1"/>
                      </w14:solidFill>
                    </w14:textFill>
                  </w:rPr>
                </m:ctrlPr>
              </m:e>
            </m:d>
            <m:ctrlPr>
              <w:rPr>
                <w:rFonts w:hint="eastAsia" w:ascii="Cambria Math" w:hAnsi="Cambria Math" w:cs="Times New Roman"/>
                <w:i/>
                <w:color w:val="000000" w:themeColor="text1"/>
                <w14:textFill>
                  <w14:solidFill>
                    <w14:schemeClr w14:val="tx1"/>
                  </w14:solidFill>
                </w14:textFill>
              </w:rPr>
            </m:ctrlPr>
          </m:e>
        </m:d>
        <m:r>
          <m:rPr/>
          <w:rPr>
            <w:rFonts w:hint="eastAsia" w:ascii="Cambria Math" w:hAnsi="Cambria Math" w:cs="Times New Roman"/>
            <w:color w:val="000000" w:themeColor="text1"/>
            <w14:textFill>
              <w14:solidFill>
                <w14:schemeClr w14:val="tx1"/>
              </w14:solidFill>
            </w14:textFill>
          </w:rPr>
          <m:t>，</m:t>
        </m:r>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hint="eastAsia" w:ascii="Cambria Math" w:hAnsi="Cambria Math" w:cs="Times New Roman"/>
                <w:i/>
                <w:iCs/>
                <w:color w:val="000000" w:themeColor="text1"/>
                <w14:textFill>
                  <w14:solidFill>
                    <w14:schemeClr w14:val="tx1"/>
                  </w14:solidFill>
                </w14:textFill>
              </w:rPr>
            </m:ctrlPr>
          </m:sub>
        </m:sSub>
      </m:oMath>
      <w:r>
        <w:rPr>
          <w:rFonts w:hint="eastAsia" w:hAnsi="Cambria Math" w:cs="Times New Roman"/>
          <w:iCs/>
          <w:color w:val="000000" w:themeColor="text1"/>
          <w14:textFill>
            <w14:solidFill>
              <w14:schemeClr w14:val="tx1"/>
            </w14:solidFill>
          </w14:textFill>
        </w:rPr>
        <w:t>为企业</w:t>
      </w:r>
      <w:r>
        <w:rPr>
          <w:rFonts w:hint="eastAsia" w:ascii="Times New Roman" w:hAnsi="Times New Roman" w:cs="Times New Roman"/>
          <w:i/>
          <w:iCs/>
          <w:color w:val="000000" w:themeColor="text1"/>
          <w14:textFill>
            <w14:solidFill>
              <w14:schemeClr w14:val="tx1"/>
            </w14:solidFill>
          </w14:textFill>
        </w:rPr>
        <w:t>i</w:t>
      </w:r>
      <w:r>
        <w:rPr>
          <w:rFonts w:hint="eastAsia" w:hAnsi="Cambria Math" w:cs="Times New Roman"/>
          <w:iCs/>
          <w:color w:val="000000" w:themeColor="text1"/>
          <w14:textFill>
            <w14:solidFill>
              <w14:schemeClr w14:val="tx1"/>
            </w14:solidFill>
          </w14:textFill>
        </w:rPr>
        <w:t>在领域</w:t>
      </w:r>
      <w:r>
        <w:rPr>
          <w:rFonts w:ascii="Times New Roman" w:hAnsi="Times New Roman" w:cs="Times New Roman"/>
          <w:i/>
          <w:color w:val="000000" w:themeColor="text1"/>
          <w14:textFill>
            <w14:solidFill>
              <w14:schemeClr w14:val="tx1"/>
            </w14:solidFill>
          </w14:textFill>
        </w:rPr>
        <w:t>g</w:t>
      </w:r>
      <w:r>
        <w:rPr>
          <w:rFonts w:ascii="Times New Roman" w:hAnsi="Times New Roman" w:cs="Times New Roman"/>
          <w:iCs/>
          <w:color w:val="000000" w:themeColor="text1"/>
          <w14:textFill>
            <w14:solidFill>
              <w14:schemeClr w14:val="tx1"/>
            </w14:solidFill>
          </w14:textFill>
        </w:rPr>
        <w:t>中是否具有专利的虚拟变量，具有时取1</w:t>
      </w:r>
      <w:r>
        <w:rPr>
          <w:rFonts w:hint="eastAsia" w:hAnsi="Cambria Math" w:cs="Times New Roman"/>
          <w:iCs/>
          <w:color w:val="000000" w:themeColor="text1"/>
          <w14:textFill>
            <w14:solidFill>
              <w14:schemeClr w14:val="tx1"/>
            </w14:solidFill>
          </w14:textFill>
        </w:rPr>
        <w:t>），即在涉及</w:t>
      </w:r>
      <w:r>
        <w:rPr>
          <w:rFonts w:ascii="Times New Roman" w:hAnsi="Times New Roman" w:cs="Times New Roman"/>
          <w:iCs/>
          <w:color w:val="000000" w:themeColor="text1"/>
          <w14:textFill>
            <w14:solidFill>
              <w14:schemeClr w14:val="tx1"/>
            </w14:solidFill>
          </w14:textFill>
        </w:rPr>
        <w:t>领域</w:t>
      </w:r>
      <w:r>
        <w:rPr>
          <w:rFonts w:hint="eastAsia" w:ascii="Times New Roman" w:hAnsi="Times New Roman" w:cs="Times New Roman"/>
          <w:iCs/>
          <w:color w:val="000000" w:themeColor="text1"/>
          <w14:textFill>
            <w14:solidFill>
              <w14:schemeClr w14:val="tx1"/>
            </w14:solidFill>
          </w14:textFill>
        </w:rPr>
        <w:t>更</w:t>
      </w:r>
      <w:r>
        <w:rPr>
          <w:rFonts w:ascii="Times New Roman" w:hAnsi="Times New Roman" w:cs="Times New Roman"/>
          <w:iCs/>
          <w:color w:val="000000" w:themeColor="text1"/>
          <w14:textFill>
            <w14:solidFill>
              <w14:schemeClr w14:val="tx1"/>
            </w14:solidFill>
          </w14:textFill>
        </w:rPr>
        <w:t>多的</w:t>
      </w:r>
      <w:r>
        <w:rPr>
          <w:rFonts w:hint="eastAsia" w:ascii="Times New Roman" w:hAnsi="Times New Roman" w:cs="Times New Roman"/>
          <w:iCs/>
          <w:color w:val="000000" w:themeColor="text1"/>
          <w14:textFill>
            <w14:solidFill>
              <w14:schemeClr w14:val="tx1"/>
            </w14:solidFill>
          </w14:textFill>
        </w:rPr>
        <w:t>两个</w:t>
      </w:r>
      <w:r>
        <w:rPr>
          <w:rFonts w:ascii="Times New Roman" w:hAnsi="Times New Roman" w:cs="Times New Roman"/>
          <w:iCs/>
          <w:color w:val="000000" w:themeColor="text1"/>
          <w14:textFill>
            <w14:solidFill>
              <w14:schemeClr w14:val="tx1"/>
            </w14:solidFill>
          </w14:textFill>
        </w:rPr>
        <w:t>企业</w:t>
      </w:r>
      <w:r>
        <w:rPr>
          <w:rFonts w:hint="eastAsia" w:ascii="Times New Roman" w:hAnsi="Times New Roman" w:cs="Times New Roman"/>
          <w:iCs/>
          <w:color w:val="000000" w:themeColor="text1"/>
          <w14:textFill>
            <w14:solidFill>
              <w14:schemeClr w14:val="tx1"/>
            </w14:solidFill>
          </w14:textFill>
        </w:rPr>
        <w:t>之间，会形成更强的跨领域知识溢出接收能力</w:t>
      </w:r>
      <w:r>
        <w:rPr>
          <w:rFonts w:hint="eastAsia" w:ascii="Times New Roman" w:hAnsi="Times New Roman" w:cs="Times New Roman"/>
          <w:color w:val="000000" w:themeColor="text1"/>
          <w14:textFill>
            <w14:solidFill>
              <w14:schemeClr w14:val="tx1"/>
            </w14:solidFill>
          </w14:textFill>
        </w:rPr>
        <w:t>；二是使用整体中各IPC分类出现的概率衡量大背景下的发展趋势与接收概率（</w:t>
      </w:r>
      <m:oMath>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2</m:t>
            </m:r>
            <m:ctrlPr>
              <w:rPr>
                <w:rFonts w:ascii="Cambria Math" w:hAnsi="Cambria Math" w:cs="Times New Roman"/>
                <w:i/>
                <w:iCs/>
                <w:color w:val="000000" w:themeColor="text1"/>
                <w14:textFill>
                  <w14:solidFill>
                    <w14:schemeClr w14:val="tx1"/>
                  </w14:solidFill>
                </w14:textFill>
              </w:rPr>
            </m:ctrlPr>
          </m:sub>
        </m:sSub>
        <m:r>
          <m:rPr/>
          <w:rPr>
            <w:rFonts w:hint="eastAsia" w:ascii="Cambria Math" w:hAnsi="Cambria Math" w:cs="Times New Roman"/>
            <w:color w:val="000000" w:themeColor="text1"/>
            <w14:textFill>
              <w14:solidFill>
                <w14:schemeClr w14:val="tx1"/>
              </w14:solidFill>
            </w14:textFill>
          </w:rPr>
          <m:t>=</m:t>
        </m:r>
        <m:sSup>
          <m:sSupPr>
            <m:ctrlPr>
              <w:rPr>
                <w:rFonts w:hint="eastAsia" w:ascii="Cambria Math" w:hAnsi="Cambria Math" w:cs="Times New Roman"/>
                <w:i/>
                <w:iCs/>
                <w:color w:val="000000" w:themeColor="text1"/>
                <w14:textFill>
                  <w14:solidFill>
                    <w14:schemeClr w14:val="tx1"/>
                  </w14:solidFill>
                </w14:textFill>
              </w:rPr>
            </m:ctrlPr>
          </m:sSupPr>
          <m:e>
            <m:d>
              <m:dPr>
                <m:ctrlPr>
                  <w:rPr>
                    <w:rFonts w:hint="eastAsia" w:ascii="Cambria Math" w:hAnsi="Cambria Math" w:cs="Times New Roman"/>
                    <w:i/>
                    <w:iCs/>
                    <w:color w:val="000000" w:themeColor="text1"/>
                    <w14:textFill>
                      <w14:solidFill>
                        <w14:schemeClr w14:val="tx1"/>
                      </w14:solidFill>
                    </w14:textFill>
                  </w:rPr>
                </m:ctrlPr>
              </m:dPr>
              <m:e>
                <m:nary>
                  <m:naryPr>
                    <m:chr m:val="∑"/>
                    <m:limLoc m:val="subSup"/>
                    <m:ctrlPr>
                      <w:rPr>
                        <w:rFonts w:hint="eastAsia" w:ascii="Cambria Math" w:hAnsi="Cambria Math" w:cs="Times New Roman"/>
                        <w:i/>
                        <w:iCs/>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iCs/>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N</m:t>
                    </m:r>
                    <m:ctrlPr>
                      <w:rPr>
                        <w:rFonts w:hint="eastAsia" w:ascii="Cambria Math" w:hAnsi="Cambria Math" w:cs="Times New Roman"/>
                        <w:i/>
                        <w:iCs/>
                        <w:color w:val="000000" w:themeColor="text1"/>
                        <w14:textFill>
                          <w14:solidFill>
                            <w14:schemeClr w14:val="tx1"/>
                          </w14:solidFill>
                        </w14:textFill>
                      </w:rPr>
                    </m:ctrlPr>
                  </m:sup>
                  <m:e>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ig</m:t>
                        </m:r>
                        <m:ctrlPr>
                          <w:rPr>
                            <w:rFonts w:hint="eastAsia" w:ascii="Cambria Math" w:hAnsi="Cambria Math" w:cs="Times New Roman"/>
                            <w:i/>
                            <w:iCs/>
                            <w:color w:val="000000" w:themeColor="text1"/>
                            <w14:textFill>
                              <w14:solidFill>
                                <w14:schemeClr w14:val="tx1"/>
                              </w14:solidFill>
                            </w14:textFill>
                          </w:rPr>
                        </m:ctrlPr>
                      </m:sub>
                    </m:sSub>
                    <m:ctrlPr>
                      <w:rPr>
                        <w:rFonts w:hint="eastAsia" w:ascii="Cambria Math" w:hAnsi="Cambria Math" w:cs="Times New Roman"/>
                        <w:i/>
                        <w:iCs/>
                        <w:color w:val="000000" w:themeColor="text1"/>
                        <w14:textFill>
                          <w14:solidFill>
                            <w14:schemeClr w14:val="tx1"/>
                          </w14:solidFill>
                        </w14:textFill>
                      </w:rPr>
                    </m:ctrlPr>
                  </m:e>
                </m:nary>
                <m:ctrlPr>
                  <w:rPr>
                    <w:rFonts w:hint="eastAsia" w:ascii="Cambria Math" w:hAnsi="Cambria Math" w:cs="Times New Roman"/>
                    <w:i/>
                    <w:iCs/>
                    <w:color w:val="000000" w:themeColor="text1"/>
                    <w14:textFill>
                      <w14:solidFill>
                        <w14:schemeClr w14:val="tx1"/>
                      </w14:solidFill>
                    </w14:textFill>
                  </w:rPr>
                </m:ctrlPr>
              </m:e>
            </m:d>
            <m:ctrlPr>
              <w:rPr>
                <w:rFonts w:hint="eastAsia" w:ascii="Cambria Math" w:hAnsi="Cambria Math" w:cs="Times New Roman"/>
                <w:i/>
                <w:iCs/>
                <w:color w:val="000000" w:themeColor="text1"/>
                <w14:textFill>
                  <w14:solidFill>
                    <w14:schemeClr w14:val="tx1"/>
                  </w14:solidFill>
                </w14:textFill>
              </w:rPr>
            </m:ctrlPr>
          </m:e>
          <m:sup>
            <m:r>
              <m:rPr/>
              <w:rPr>
                <w:rFonts w:hint="eastAsia" w:ascii="Cambria Math" w:hAnsi="Cambria Math" w:cs="Times New Roman"/>
                <w:color w:val="000000" w:themeColor="text1"/>
                <w14:textFill>
                  <w14:solidFill>
                    <w14:schemeClr w14:val="tx1"/>
                  </w14:solidFill>
                </w14:textFill>
              </w:rPr>
              <m:t>2</m:t>
            </m:r>
            <m:ctrlPr>
              <w:rPr>
                <w:rFonts w:hint="eastAsia" w:ascii="Cambria Math" w:hAnsi="Cambria Math" w:cs="Times New Roman"/>
                <w:i/>
                <w:iCs/>
                <w:color w:val="000000" w:themeColor="text1"/>
                <w14:textFill>
                  <w14:solidFill>
                    <w14:schemeClr w14:val="tx1"/>
                  </w14:solidFill>
                </w14:textFill>
              </w:rPr>
            </m:ctrlPr>
          </m:sup>
        </m:sSup>
        <m:r>
          <m:rPr/>
          <w:rPr>
            <w:rFonts w:hint="eastAsia" w:ascii="Cambria Math" w:hAnsi="Cambria Math" w:cs="Times New Roman"/>
            <w:color w:val="000000" w:themeColor="text1"/>
            <w14:textFill>
              <w14:solidFill>
                <w14:schemeClr w14:val="tx1"/>
              </w14:solidFill>
            </w14:textFill>
          </w:rPr>
          <m:t>/</m:t>
        </m:r>
        <m:sSup>
          <m:sSupPr>
            <m:ctrlPr>
              <w:rPr>
                <w:rFonts w:hint="eastAsia" w:ascii="Cambria Math" w:hAnsi="Cambria Math" w:cs="Times New Roman"/>
                <w:i/>
                <w:color w:val="000000" w:themeColor="text1"/>
                <w14:textFill>
                  <w14:solidFill>
                    <w14:schemeClr w14:val="tx1"/>
                  </w14:solidFill>
                </w14:textFill>
              </w:rPr>
            </m:ctrlPr>
          </m:sSupPr>
          <m:e>
            <m:d>
              <m:dPr>
                <m:ctrlPr>
                  <w:rPr>
                    <w:rFonts w:hint="eastAsia" w:ascii="Cambria Math" w:hAnsi="Cambria Math" w:cs="Times New Roman"/>
                    <w:i/>
                    <w:color w:val="000000" w:themeColor="text1"/>
                    <w14:textFill>
                      <w14:solidFill>
                        <w14:schemeClr w14:val="tx1"/>
                      </w14:solidFill>
                    </w14:textFill>
                  </w:rPr>
                </m:ctrlPr>
              </m:dPr>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N</m:t>
                    </m:r>
                    <m:ctrlPr>
                      <w:rPr>
                        <w:rFonts w:hint="eastAsia" w:ascii="Cambria Math" w:hAnsi="Cambria Math" w:cs="Times New Roman"/>
                        <w:i/>
                        <w:color w:val="000000" w:themeColor="text1"/>
                        <w14:textFill>
                          <w14:solidFill>
                            <w14:schemeClr w14:val="tx1"/>
                          </w14:solidFill>
                        </w14:textFill>
                      </w:rPr>
                    </m:ctrlPr>
                  </m:sup>
                  <m:e>
                    <m:nary>
                      <m:naryPr>
                        <m:chr m:val="∑"/>
                        <m:limLoc m:val="subSup"/>
                        <m:ctrlPr>
                          <w:rPr>
                            <w:rFonts w:hint="eastAsia" w:ascii="Cambria Math" w:hAnsi="Cambria Math" w:cs="Times New Roman"/>
                            <w:i/>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hint="eastAsia"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hint="eastAsia" w:ascii="Cambria Math" w:hAnsi="Cambria Math" w:cs="Times New Roman"/>
                            <w:i/>
                            <w:color w:val="000000" w:themeColor="text1"/>
                            <w14:textFill>
                              <w14:solidFill>
                                <w14:schemeClr w14:val="tx1"/>
                              </w14:solidFill>
                            </w14:textFill>
                          </w:rPr>
                        </m:ctrlPr>
                      </m:sup>
                      <m:e>
                        <m:sSub>
                          <m:sSubPr>
                            <m:ctrlPr>
                              <w:rPr>
                                <w:rFonts w:hint="eastAsia"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ig</m:t>
                            </m:r>
                            <m:ctrlPr>
                              <w:rPr>
                                <w:rFonts w:hint="eastAsia" w:ascii="Cambria Math" w:hAnsi="Cambria Math" w:cs="Times New Roman"/>
                                <w:i/>
                                <w:color w:val="000000" w:themeColor="text1"/>
                                <w14:textFill>
                                  <w14:solidFill>
                                    <w14:schemeClr w14:val="tx1"/>
                                  </w14:solidFill>
                                </w14:textFill>
                              </w:rPr>
                            </m:ctrlPr>
                          </m:sub>
                        </m:sSub>
                        <m:ctrlPr>
                          <w:rPr>
                            <w:rFonts w:hint="eastAsia" w:ascii="Cambria Math" w:hAnsi="Cambria Math" w:cs="Times New Roman"/>
                            <w:i/>
                            <w:color w:val="000000" w:themeColor="text1"/>
                            <w14:textFill>
                              <w14:solidFill>
                                <w14:schemeClr w14:val="tx1"/>
                              </w14:solidFill>
                            </w14:textFill>
                          </w:rPr>
                        </m:ctrlPr>
                      </m:e>
                    </m:nary>
                    <m:ctrlPr>
                      <w:rPr>
                        <w:rFonts w:hint="eastAsia" w:ascii="Cambria Math" w:hAnsi="Cambria Math" w:cs="Times New Roman"/>
                        <w:i/>
                        <w:color w:val="000000" w:themeColor="text1"/>
                        <w14:textFill>
                          <w14:solidFill>
                            <w14:schemeClr w14:val="tx1"/>
                          </w14:solidFill>
                        </w14:textFill>
                      </w:rPr>
                    </m:ctrlPr>
                  </m:e>
                </m:nary>
                <m:ctrlPr>
                  <w:rPr>
                    <w:rFonts w:hint="eastAsia" w:ascii="Cambria Math" w:hAnsi="Cambria Math" w:cs="Times New Roman"/>
                    <w:i/>
                    <w:color w:val="000000" w:themeColor="text1"/>
                    <w14:textFill>
                      <w14:solidFill>
                        <w14:schemeClr w14:val="tx1"/>
                      </w14:solidFill>
                    </w14:textFill>
                  </w:rPr>
                </m:ctrlPr>
              </m:e>
            </m:d>
            <m:ctrlPr>
              <w:rPr>
                <w:rFonts w:hint="eastAsia" w:ascii="Cambria Math" w:hAnsi="Cambria Math" w:cs="Times New Roman"/>
                <w:i/>
                <w:color w:val="000000" w:themeColor="text1"/>
                <w14:textFill>
                  <w14:solidFill>
                    <w14:schemeClr w14:val="tx1"/>
                  </w14:solidFill>
                </w14:textFill>
              </w:rPr>
            </m:ctrlPr>
          </m:e>
          <m:sup>
            <m:r>
              <m:rPr/>
              <w:rPr>
                <w:rFonts w:hint="eastAsia" w:ascii="Cambria Math" w:hAnsi="Cambria Math" w:cs="Times New Roman"/>
                <w:color w:val="000000" w:themeColor="text1"/>
                <w14:textFill>
                  <w14:solidFill>
                    <w14:schemeClr w14:val="tx1"/>
                  </w14:solidFill>
                </w14:textFill>
              </w:rPr>
              <m:t>2</m:t>
            </m:r>
            <m:ctrlPr>
              <w:rPr>
                <w:rFonts w:hint="eastAsia" w:ascii="Cambria Math" w:hAnsi="Cambria Math" w:cs="Times New Roman"/>
                <w:i/>
                <w:color w:val="000000" w:themeColor="text1"/>
                <w14:textFill>
                  <w14:solidFill>
                    <w14:schemeClr w14:val="tx1"/>
                  </w14:solidFill>
                </w14:textFill>
              </w:rPr>
            </m:ctrlPr>
          </m:sup>
        </m:sSup>
      </m:oMath>
      <w:r>
        <w:rPr>
          <w:rFonts w:hint="eastAsia" w:hAnsi="Cambria Math" w:cs="Times New Roman"/>
          <w:iCs/>
          <w:color w:val="000000" w:themeColor="text1"/>
          <w14:textFill>
            <w14:solidFill>
              <w14:schemeClr w14:val="tx1"/>
            </w14:solidFill>
          </w14:textFill>
        </w:rPr>
        <w:t>）</w:t>
      </w:r>
      <w:r>
        <w:rPr>
          <w:rStyle w:val="5"/>
          <w:rFonts w:hint="eastAsia" w:hAnsi="Cambria Math" w:cs="Times New Roman"/>
          <w:iCs/>
          <w:color w:val="000000" w:themeColor="text1"/>
          <w14:textFill>
            <w14:solidFill>
              <w14:schemeClr w14:val="tx1"/>
            </w14:solidFill>
          </w14:textFill>
        </w:rPr>
        <w:footnoteReference w:id="2"/>
      </w:r>
      <w:r>
        <w:rPr>
          <w:rFonts w:hint="eastAsia" w:ascii="Times New Roman" w:hAnsi="Times New Roman" w:cs="Times New Roman"/>
          <w:color w:val="000000" w:themeColor="text1"/>
          <w14:textFill>
            <w14:solidFill>
              <w14:schemeClr w14:val="tx1"/>
            </w14:solidFill>
          </w14:textFill>
        </w:rPr>
        <w:t>；三是依据企业间地理距离的倒数（</w:t>
      </w:r>
      <m:oMath>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3</m:t>
            </m:r>
            <m:ctrlPr>
              <w:rPr>
                <w:rFonts w:ascii="Cambria Math" w:hAnsi="Cambria Math" w:cs="Times New Roman"/>
                <w:i/>
                <w:iCs/>
                <w:color w:val="000000" w:themeColor="text1"/>
                <w14:textFill>
                  <w14:solidFill>
                    <w14:schemeClr w14:val="tx1"/>
                  </w14:solidFill>
                </w14:textFill>
              </w:rPr>
            </m:ctrlPr>
          </m:sub>
        </m:sSub>
        <m:r>
          <m:rPr/>
          <w:rPr>
            <w:rFonts w:hint="eastAsia" w:ascii="Cambria Math" w:hAnsi="Cambria Math" w:cs="Times New Roman"/>
            <w:color w:val="000000" w:themeColor="text1"/>
            <w14:textFill>
              <w14:solidFill>
                <w14:schemeClr w14:val="tx1"/>
              </w14:solidFill>
            </w14:textFill>
          </w:rPr>
          <m:t>=</m:t>
        </m:r>
        <m:r>
          <m:rPr>
            <m:sty m:val="p"/>
          </m:rPr>
          <w:rPr>
            <w:rFonts w:hint="eastAsia" w:ascii="Cambria Math" w:hAnsi="Times New Roman" w:cs="Times New Roman"/>
            <w:color w:val="000000" w:themeColor="text1"/>
            <w14:textFill>
              <w14:solidFill>
                <w14:schemeClr w14:val="tx1"/>
              </w14:solidFill>
            </w14:textFill>
          </w:rPr>
          <m:t>1/</m:t>
        </m:r>
        <m:sSub>
          <m:sSubPr>
            <m:ctrlPr>
              <w:rPr>
                <w:rFonts w:ascii="Cambria Math" w:hAnsi="Cambria Math" w:cs="Times New Roman"/>
                <w:i/>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distance</m:t>
            </m:r>
            <m:ctrlPr>
              <w:rPr>
                <w:rFonts w:ascii="Cambria Math" w:hAnsi="Cambria Math" w:cs="Times New Roman"/>
                <w:i/>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ij</m:t>
            </m:r>
            <m:ctrlPr>
              <w:rPr>
                <w:rFonts w:ascii="Cambria Math" w:hAnsi="Cambria Math" w:cs="Times New Roman"/>
                <w:i/>
                <w:color w:val="000000" w:themeColor="text1"/>
                <w14:textFill>
                  <w14:solidFill>
                    <w14:schemeClr w14:val="tx1"/>
                  </w14:solidFill>
                </w14:textFill>
              </w:rPr>
            </m:ctrlPr>
          </m:sub>
        </m:sSub>
      </m:oMath>
      <w:r>
        <w:rPr>
          <w:rFonts w:hint="eastAsia" w:ascii="Times New Roman" w:hAnsi="Times New Roman" w:cs="Times New Roman"/>
          <w:color w:val="000000" w:themeColor="text1"/>
          <w14:textFill>
            <w14:solidFill>
              <w14:schemeClr w14:val="tx1"/>
            </w14:solidFill>
          </w14:textFill>
        </w:rPr>
        <w:t>），测度来自企业空间分布的影响。结合上述三种思路，下式计算了更为严谨的技术近邻度，用于生成相应的知识溢出接收变量展开稳健性分析。</w:t>
      </w:r>
      <w:r>
        <w:rPr>
          <w:rFonts w:hint="eastAsia" w:ascii="Times New Roman" w:hAnsi="Times New Roman" w:cs="Times New Roman"/>
          <w:color w:val="000000" w:themeColor="text1"/>
          <w:lang w:val="en-US" w:eastAsia="zh-CN"/>
          <w14:textFill>
            <w14:solidFill>
              <w14:schemeClr w14:val="tx1"/>
            </w14:solidFill>
          </w14:textFill>
        </w:rPr>
        <w:t>此处所得结果保持一致。</w:t>
      </w:r>
    </w:p>
    <w:p w14:paraId="56A7A8A2">
      <w:pPr>
        <w:snapToGrid w:val="0"/>
        <w:ind w:firstLine="420"/>
        <w:jc w:val="right"/>
        <w:outlineLvl w:val="2"/>
        <w:rPr>
          <w:rFonts w:hint="eastAsia" w:ascii="Times New Roman" w:hAnsi="Times New Roman" w:cs="Times New Roman"/>
          <w:color w:val="000000" w:themeColor="text1"/>
          <w14:textFill>
            <w14:solidFill>
              <w14:schemeClr w14:val="tx1"/>
            </w14:solidFill>
          </w14:textFill>
        </w:rPr>
      </w:pPr>
      <m:oMath>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TECH</m:t>
            </m:r>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ij</m:t>
            </m:r>
            <m:ctrlPr>
              <w:rPr>
                <w:rFonts w:ascii="Cambria Math" w:hAnsi="Cambria Math" w:cs="Times New Roman"/>
                <w:i/>
                <w:iCs/>
                <w:color w:val="000000" w:themeColor="text1"/>
                <w14:textFill>
                  <w14:solidFill>
                    <w14:schemeClr w14:val="tx1"/>
                  </w14:solidFill>
                </w14:textFill>
              </w:rPr>
            </m:ctrlPr>
          </m:sub>
        </m:sSub>
        <m:r>
          <m:rPr/>
          <w:rPr>
            <w:rFonts w:hint="eastAsia" w:ascii="Cambria Math" w:hAnsi="Cambria Math" w:cs="Times New Roman"/>
            <w:color w:val="000000" w:themeColor="text1"/>
            <w14:textFill>
              <w14:solidFill>
                <w14:schemeClr w14:val="tx1"/>
              </w14:solidFill>
            </w14:textFill>
          </w:rPr>
          <m:t>=</m:t>
        </m:r>
        <m:nary>
          <m:naryPr>
            <m:chr m:val="∑"/>
            <m:limLoc m:val="undOvr"/>
            <m:ctrlPr>
              <w:rPr>
                <w:rFonts w:ascii="Cambria Math" w:hAnsi="Cambria Math" w:cs="Times New Roman"/>
                <w:i/>
                <w:color w:val="000000" w:themeColor="text1"/>
                <w14:textFill>
                  <w14:solidFill>
                    <w14:schemeClr w14:val="tx1"/>
                  </w14:solidFill>
                </w14:textFill>
              </w:rPr>
            </m:ctrlPr>
          </m:naryPr>
          <m:sub>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G</m:t>
            </m:r>
            <m:ctrlPr>
              <w:rPr>
                <w:rFonts w:ascii="Cambria Math" w:hAnsi="Cambria Math" w:cs="Times New Roman"/>
                <w:i/>
                <w:color w:val="000000" w:themeColor="text1"/>
                <w14:textFill>
                  <w14:solidFill>
                    <w14:schemeClr w14:val="tx1"/>
                  </w14:solidFill>
                </w14:textFill>
              </w:rPr>
            </m:ctrlPr>
          </m:sup>
          <m:e>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1</m:t>
                </m:r>
                <m:ctrlPr>
                  <w:rPr>
                    <w:rFonts w:ascii="Cambria Math" w:hAnsi="Cambria Math" w:cs="Times New Roman"/>
                    <w:i/>
                    <w:iCs/>
                    <w:color w:val="000000" w:themeColor="text1"/>
                    <w14:textFill>
                      <w14:solidFill>
                        <w14:schemeClr w14:val="tx1"/>
                      </w14:solidFill>
                    </w14:textFill>
                  </w:rPr>
                </m:ctrlPr>
              </m:sub>
            </m:sSub>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2</m:t>
                </m:r>
                <m:ctrlPr>
                  <w:rPr>
                    <w:rFonts w:ascii="Cambria Math" w:hAnsi="Cambria Math" w:cs="Times New Roman"/>
                    <w:i/>
                    <w:iCs/>
                    <w:color w:val="000000" w:themeColor="text1"/>
                    <w14:textFill>
                      <w14:solidFill>
                        <w14:schemeClr w14:val="tx1"/>
                      </w14:solidFill>
                    </w14:textFill>
                  </w:rPr>
                </m:ctrlPr>
              </m:sub>
            </m:sSub>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ω</m:t>
                </m:r>
                <m:ctrlPr>
                  <w:rPr>
                    <w:rFonts w:ascii="Cambria Math" w:hAnsi="Cambria Math" w:cs="Times New Roman"/>
                    <w:i/>
                    <w:iCs/>
                    <w:color w:val="000000" w:themeColor="text1"/>
                    <w14:textFill>
                      <w14:solidFill>
                        <w14:schemeClr w14:val="tx1"/>
                      </w14:solidFill>
                    </w14:textFill>
                  </w:rPr>
                </m:ctrlPr>
              </m:e>
              <m:sub>
                <m:r>
                  <m:rPr/>
                  <w:rPr>
                    <w:rFonts w:hint="eastAsia" w:ascii="Cambria Math" w:hAnsi="Cambria Math" w:cs="Times New Roman"/>
                    <w:color w:val="000000" w:themeColor="text1"/>
                    <w14:textFill>
                      <w14:solidFill>
                        <w14:schemeClr w14:val="tx1"/>
                      </w14:solidFill>
                    </w14:textFill>
                  </w:rPr>
                  <m:t>3</m:t>
                </m:r>
                <m:ctrlPr>
                  <w:rPr>
                    <w:rFonts w:ascii="Cambria Math" w:hAnsi="Cambria Math" w:cs="Times New Roman"/>
                    <w:i/>
                    <w:iCs/>
                    <w:color w:val="000000" w:themeColor="text1"/>
                    <w14:textFill>
                      <w14:solidFill>
                        <w14:schemeClr w14:val="tx1"/>
                      </w14:solidFill>
                    </w14:textFill>
                  </w:rPr>
                </m:ctrlPr>
              </m:sub>
            </m:sSub>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ig</m:t>
                </m:r>
                <m:ctrlPr>
                  <w:rPr>
                    <w:rFonts w:ascii="Cambria Math" w:hAnsi="Cambria Math" w:cs="Times New Roman"/>
                    <w:i/>
                    <w:iCs/>
                    <w:color w:val="000000" w:themeColor="text1"/>
                    <w14:textFill>
                      <w14:solidFill>
                        <w14:schemeClr w14:val="tx1"/>
                      </w14:solidFill>
                    </w14:textFill>
                  </w:rPr>
                </m:ctrlPr>
              </m:sub>
            </m:sSub>
            <m:sSub>
              <m:sSubPr>
                <m:ctrlPr>
                  <w:rPr>
                    <w:rFonts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jg</m:t>
                </m:r>
                <m:ctrlPr>
                  <w:rPr>
                    <w:rFonts w:ascii="Cambria Math" w:hAnsi="Cambria Math" w:cs="Times New Roman"/>
                    <w:i/>
                    <w:iCs/>
                    <w:color w:val="000000" w:themeColor="text1"/>
                    <w14:textFill>
                      <w14:solidFill>
                        <w14:schemeClr w14:val="tx1"/>
                      </w14:solidFill>
                    </w14:textFill>
                  </w:rPr>
                </m:ctrlPr>
              </m:sub>
            </m:sSub>
            <m:ctrlPr>
              <w:rPr>
                <w:rFonts w:ascii="Cambria Math" w:hAnsi="Cambria Math" w:cs="Times New Roman"/>
                <w:i/>
                <w:color w:val="000000" w:themeColor="text1"/>
                <w14:textFill>
                  <w14:solidFill>
                    <w14:schemeClr w14:val="tx1"/>
                  </w14:solidFill>
                </w14:textFill>
              </w:rPr>
            </m:ctrlPr>
          </m:e>
        </m:nary>
        <m:r>
          <m:rPr/>
          <w:rPr>
            <w:rFonts w:hint="eastAsia" w:ascii="Cambria Math" w:hAnsi="Cambria Math" w:cs="Times New Roman"/>
            <w:color w:val="000000" w:themeColor="text1"/>
            <w14:textFill>
              <w14:solidFill>
                <w14:schemeClr w14:val="tx1"/>
              </w14:solidFill>
            </w14:textFill>
          </w:rPr>
          <m:t>/</m:t>
        </m:r>
        <m:rad>
          <m:radPr>
            <m:degHide m:val="1"/>
            <m:ctrlPr>
              <w:rPr>
                <w:rFonts w:ascii="Cambria Math" w:hAnsi="Cambria Math" w:cs="Times New Roman"/>
                <w:i/>
                <w:iCs/>
                <w:color w:val="000000" w:themeColor="text1"/>
                <w14:textFill>
                  <w14:solidFill>
                    <w14:schemeClr w14:val="tx1"/>
                  </w14:solidFill>
                </w14:textFill>
              </w:rPr>
            </m:ctrlPr>
          </m:radPr>
          <m:deg>
            <m:ctrlPr>
              <w:rPr>
                <w:rFonts w:ascii="Cambria Math" w:hAnsi="Cambria Math" w:cs="Times New Roman"/>
                <w:i/>
                <w:iCs/>
                <w:color w:val="000000" w:themeColor="text1"/>
                <w14:textFill>
                  <w14:solidFill>
                    <w14:schemeClr w14:val="tx1"/>
                  </w14:solidFill>
                </w14:textFill>
              </w:rPr>
            </m:ctrlPr>
          </m:deg>
          <m:e>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hint="eastAsia" w:ascii="Cambria Math" w:hAnsi="Cambria Math" w:cs="Times New Roman"/>
                    <w:i/>
                    <w:iCs/>
                    <w:color w:val="000000" w:themeColor="text1"/>
                    <w14:textFill>
                      <w14:solidFill>
                        <w14:schemeClr w14:val="tx1"/>
                      </w14:solidFill>
                    </w14:textFill>
                  </w:rPr>
                </m:ctrlPr>
              </m:sub>
            </m:sSub>
            <m:sSubSup>
              <m:sSubSupPr>
                <m:ctrlPr>
                  <w:rPr>
                    <w:rFonts w:hint="eastAsia" w:ascii="Cambria Math" w:hAnsi="Cambria Math" w:cs="Times New Roman"/>
                    <w:i/>
                    <w:iCs/>
                    <w:color w:val="000000" w:themeColor="text1"/>
                    <w14:textFill>
                      <w14:solidFill>
                        <w14:schemeClr w14:val="tx1"/>
                      </w14:solidFill>
                    </w14:textFill>
                  </w:rPr>
                </m:ctrlPr>
              </m:sSubSup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i</m:t>
                </m:r>
                <m:ctrlPr>
                  <w:rPr>
                    <w:rFonts w:hint="eastAsia" w:ascii="Cambria Math" w:hAnsi="Cambria Math" w:cs="Times New Roman"/>
                    <w:i/>
                    <w:iCs/>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m:t>
                </m:r>
                <m:ctrlPr>
                  <w:rPr>
                    <w:rFonts w:hint="eastAsia" w:ascii="Cambria Math" w:hAnsi="Cambria Math" w:cs="Times New Roman"/>
                    <w:i/>
                    <w:iCs/>
                    <w:color w:val="000000" w:themeColor="text1"/>
                    <w14:textFill>
                      <w14:solidFill>
                        <w14:schemeClr w14:val="tx1"/>
                      </w14:solidFill>
                    </w14:textFill>
                  </w:rPr>
                </m:ctrlPr>
              </m:sup>
            </m:sSubSup>
            <m:ctrlPr>
              <w:rPr>
                <w:rFonts w:ascii="Cambria Math" w:hAnsi="Cambria Math" w:cs="Times New Roman"/>
                <w:i/>
                <w:iCs/>
                <w:color w:val="000000" w:themeColor="text1"/>
                <w14:textFill>
                  <w14:solidFill>
                    <w14:schemeClr w14:val="tx1"/>
                  </w14:solidFill>
                </w14:textFill>
              </w:rPr>
            </m:ctrlPr>
          </m:e>
        </m:rad>
        <m:rad>
          <m:radPr>
            <m:degHide m:val="1"/>
            <m:ctrlPr>
              <w:rPr>
                <w:rFonts w:ascii="Cambria Math" w:hAnsi="Cambria Math" w:cs="Times New Roman"/>
                <w:i/>
                <w:iCs/>
                <w:color w:val="000000" w:themeColor="text1"/>
                <w14:textFill>
                  <w14:solidFill>
                    <w14:schemeClr w14:val="tx1"/>
                  </w14:solidFill>
                </w14:textFill>
              </w:rPr>
            </m:ctrlPr>
          </m:radPr>
          <m:deg>
            <m:ctrlPr>
              <w:rPr>
                <w:rFonts w:ascii="Cambria Math" w:hAnsi="Cambria Math" w:cs="Times New Roman"/>
                <w:i/>
                <w:iCs/>
                <w:color w:val="000000" w:themeColor="text1"/>
                <w14:textFill>
                  <w14:solidFill>
                    <w14:schemeClr w14:val="tx1"/>
                  </w14:solidFill>
                </w14:textFill>
              </w:rPr>
            </m:ctrlPr>
          </m:deg>
          <m:e>
            <m:sSub>
              <m:sSubPr>
                <m:ctrlPr>
                  <w:rPr>
                    <w:rFonts w:hint="eastAsia" w:ascii="Cambria Math" w:hAnsi="Cambria Math" w:cs="Times New Roman"/>
                    <w:i/>
                    <w:iCs/>
                    <w:color w:val="000000" w:themeColor="text1"/>
                    <w14:textFill>
                      <w14:solidFill>
                        <w14:schemeClr w14:val="tx1"/>
                      </w14:solidFill>
                    </w14:textFill>
                  </w:rPr>
                </m:ctrlPr>
              </m:sSub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j</m:t>
                </m:r>
                <m:ctrlPr>
                  <w:rPr>
                    <w:rFonts w:hint="eastAsia" w:ascii="Cambria Math" w:hAnsi="Cambria Math" w:cs="Times New Roman"/>
                    <w:i/>
                    <w:iCs/>
                    <w:color w:val="000000" w:themeColor="text1"/>
                    <w14:textFill>
                      <w14:solidFill>
                        <w14:schemeClr w14:val="tx1"/>
                      </w14:solidFill>
                    </w14:textFill>
                  </w:rPr>
                </m:ctrlPr>
              </m:sub>
            </m:sSub>
            <m:sSubSup>
              <m:sSubSupPr>
                <m:ctrlPr>
                  <w:rPr>
                    <w:rFonts w:hint="eastAsia" w:ascii="Cambria Math" w:hAnsi="Cambria Math" w:cs="Times New Roman"/>
                    <w:i/>
                    <w:iCs/>
                    <w:color w:val="000000" w:themeColor="text1"/>
                    <w14:textFill>
                      <w14:solidFill>
                        <w14:schemeClr w14:val="tx1"/>
                      </w14:solidFill>
                    </w14:textFill>
                  </w:rPr>
                </m:ctrlPr>
              </m:sSubSupPr>
              <m:e>
                <m:r>
                  <m:rPr/>
                  <w:rPr>
                    <w:rFonts w:ascii="Cambria Math" w:hAnsi="Cambria Math" w:cs="Times New Roman"/>
                    <w:color w:val="000000" w:themeColor="text1"/>
                    <w14:textFill>
                      <w14:solidFill>
                        <w14:schemeClr w14:val="tx1"/>
                      </w14:solidFill>
                    </w14:textFill>
                  </w:rPr>
                  <m:t>s</m:t>
                </m:r>
                <m:ctrlPr>
                  <w:rPr>
                    <w:rFonts w:hint="eastAsia" w:ascii="Cambria Math" w:hAnsi="Cambria Math" w:cs="Times New Roman"/>
                    <w:i/>
                    <w:iCs/>
                    <w:color w:val="000000" w:themeColor="text1"/>
                    <w14:textFill>
                      <w14:solidFill>
                        <w14:schemeClr w14:val="tx1"/>
                      </w14:solidFill>
                    </w14:textFill>
                  </w:rPr>
                </m:ctrlPr>
              </m:e>
              <m:sub>
                <m:r>
                  <m:rPr/>
                  <w:rPr>
                    <w:rFonts w:ascii="Cambria Math" w:hAnsi="Cambria Math" w:cs="Times New Roman"/>
                    <w:color w:val="000000" w:themeColor="text1"/>
                    <w14:textFill>
                      <w14:solidFill>
                        <w14:schemeClr w14:val="tx1"/>
                      </w14:solidFill>
                    </w14:textFill>
                  </w:rPr>
                  <m:t>j</m:t>
                </m:r>
                <m:ctrlPr>
                  <w:rPr>
                    <w:rFonts w:hint="eastAsia" w:ascii="Cambria Math" w:hAnsi="Cambria Math" w:cs="Times New Roman"/>
                    <w:i/>
                    <w:iCs/>
                    <w:color w:val="000000" w:themeColor="text1"/>
                    <w14:textFill>
                      <w14:solidFill>
                        <w14:schemeClr w14:val="tx1"/>
                      </w14:solidFill>
                    </w14:textFill>
                  </w:rPr>
                </m:ctrlPr>
              </m:sub>
              <m:sup>
                <m:r>
                  <m:rPr/>
                  <w:rPr>
                    <w:rFonts w:ascii="Cambria Math" w:hAnsi="Cambria Math" w:cs="Times New Roman"/>
                    <w:color w:val="000000" w:themeColor="text1"/>
                    <w14:textFill>
                      <w14:solidFill>
                        <w14:schemeClr w14:val="tx1"/>
                      </w14:solidFill>
                    </w14:textFill>
                  </w:rPr>
                  <m:t>'</m:t>
                </m:r>
                <m:ctrlPr>
                  <w:rPr>
                    <w:rFonts w:hint="eastAsia" w:ascii="Cambria Math" w:hAnsi="Cambria Math" w:cs="Times New Roman"/>
                    <w:i/>
                    <w:iCs/>
                    <w:color w:val="000000" w:themeColor="text1"/>
                    <w14:textFill>
                      <w14:solidFill>
                        <w14:schemeClr w14:val="tx1"/>
                      </w14:solidFill>
                    </w14:textFill>
                  </w:rPr>
                </m:ctrlPr>
              </m:sup>
            </m:sSubSup>
            <m:ctrlPr>
              <w:rPr>
                <w:rFonts w:ascii="Cambria Math" w:hAnsi="Cambria Math" w:cs="Times New Roman"/>
                <w:i/>
                <w:iCs/>
                <w:color w:val="000000" w:themeColor="text1"/>
                <w14:textFill>
                  <w14:solidFill>
                    <w14:schemeClr w14:val="tx1"/>
                  </w14:solidFill>
                </w14:textFill>
              </w:rPr>
            </m:ctrlPr>
          </m:e>
        </m:rad>
      </m:oMath>
      <w:r>
        <w:rPr>
          <w:rFonts w:hint="eastAsia" w:hAnsi="Cambria Math"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 xml:space="preserve"> </w:t>
      </w:r>
    </w:p>
    <w:p w14:paraId="7AFB87F7">
      <w:pPr>
        <w:pStyle w:val="6"/>
        <w:spacing w:before="156" w:beforeLines="50" w:line="240" w:lineRule="auto"/>
        <w:ind w:firstLine="420"/>
        <w:jc w:val="left"/>
        <w:outlineLvl w:val="3"/>
        <w:rPr>
          <w:rFonts w:hint="default" w:eastAsia="黑体" w:cs="Times New Roman"/>
          <w:b w:val="0"/>
          <w:bCs w:val="0"/>
          <w:color w:val="auto"/>
          <w:kern w:val="2"/>
          <w:sz w:val="21"/>
          <w:lang w:val="en-US"/>
        </w:rPr>
      </w:pPr>
      <w:r>
        <w:rPr>
          <w:rFonts w:hint="eastAsia" w:eastAsia="黑体" w:cs="Times New Roman"/>
          <w:b w:val="0"/>
          <w:bCs w:val="0"/>
          <w:color w:val="auto"/>
          <w:kern w:val="2"/>
          <w:sz w:val="21"/>
          <w:lang w:val="en-US" w:eastAsia="zh-CN"/>
        </w:rPr>
        <w:t>附</w:t>
      </w:r>
      <w:r>
        <w:rPr>
          <w:rFonts w:eastAsia="黑体" w:cs="Times New Roman"/>
          <w:b w:val="0"/>
          <w:bCs w:val="0"/>
          <w:color w:val="auto"/>
          <w:kern w:val="2"/>
          <w:sz w:val="21"/>
        </w:rPr>
        <w:t xml:space="preserve">表 </w:t>
      </w:r>
      <w:r>
        <w:rPr>
          <w:rFonts w:hint="eastAsia" w:eastAsia="黑体" w:cs="Times New Roman"/>
          <w:color w:val="auto"/>
          <w:kern w:val="2"/>
          <w:sz w:val="21"/>
          <w:lang w:val="en-US" w:eastAsia="zh-CN"/>
        </w:rPr>
        <w:t>2</w:t>
      </w:r>
      <w:r>
        <w:rPr>
          <w:rFonts w:hint="eastAsia" w:ascii="黑体" w:eastAsia="黑体"/>
          <w:b w:val="0"/>
          <w:bCs w:val="0"/>
          <w:color w:val="auto"/>
          <w:kern w:val="2"/>
          <w:sz w:val="21"/>
        </w:rPr>
        <w:t xml:space="preserve">                          </w:t>
      </w:r>
      <w:r>
        <w:rPr>
          <w:rFonts w:hint="eastAsia" w:ascii="黑体" w:eastAsia="黑体"/>
          <w:b w:val="0"/>
          <w:bCs w:val="0"/>
          <w:color w:val="auto"/>
          <w:kern w:val="2"/>
          <w:sz w:val="21"/>
          <w:lang w:val="en-US" w:eastAsia="zh-CN"/>
        </w:rPr>
        <w:t>稳健性分析——额外的检验</w:t>
      </w:r>
    </w:p>
    <w:tbl>
      <w:tblPr>
        <w:tblStyle w:val="3"/>
        <w:tblW w:w="9408" w:type="dxa"/>
        <w:jc w:val="center"/>
        <w:tblLayout w:type="fixed"/>
        <w:tblCellMar>
          <w:top w:w="0" w:type="dxa"/>
          <w:left w:w="0" w:type="dxa"/>
          <w:bottom w:w="0" w:type="dxa"/>
          <w:right w:w="0" w:type="dxa"/>
        </w:tblCellMar>
      </w:tblPr>
      <w:tblGrid>
        <w:gridCol w:w="1928"/>
        <w:gridCol w:w="935"/>
        <w:gridCol w:w="935"/>
        <w:gridCol w:w="935"/>
        <w:gridCol w:w="935"/>
        <w:gridCol w:w="935"/>
        <w:gridCol w:w="935"/>
        <w:gridCol w:w="935"/>
        <w:gridCol w:w="935"/>
      </w:tblGrid>
      <w:tr w14:paraId="328C72F0">
        <w:tblPrEx>
          <w:tblCellMar>
            <w:top w:w="0" w:type="dxa"/>
            <w:left w:w="0" w:type="dxa"/>
            <w:bottom w:w="0" w:type="dxa"/>
            <w:right w:w="0" w:type="dxa"/>
          </w:tblCellMar>
        </w:tblPrEx>
        <w:trPr>
          <w:jc w:val="center"/>
        </w:trPr>
        <w:tc>
          <w:tcPr>
            <w:tcW w:w="1928" w:type="dxa"/>
            <w:tcBorders>
              <w:top w:val="single" w:color="auto" w:sz="8" w:space="0"/>
              <w:left w:val="nil"/>
              <w:bottom w:val="nil"/>
              <w:right w:val="nil"/>
              <w:tl2br w:val="nil"/>
              <w:tr2bl w:val="nil"/>
            </w:tcBorders>
          </w:tcPr>
          <w:p w14:paraId="1E9BF5FC">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single" w:color="auto" w:sz="8" w:space="0"/>
              <w:left w:val="nil"/>
              <w:bottom w:val="nil"/>
              <w:right w:val="nil"/>
              <w:tl2br w:val="nil"/>
              <w:tr2bl w:val="nil"/>
            </w:tcBorders>
          </w:tcPr>
          <w:p w14:paraId="603883B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(1)</w:t>
            </w:r>
          </w:p>
        </w:tc>
        <w:tc>
          <w:tcPr>
            <w:tcW w:w="935" w:type="dxa"/>
            <w:tcBorders>
              <w:top w:val="single" w:color="auto" w:sz="8" w:space="0"/>
              <w:left w:val="nil"/>
              <w:bottom w:val="nil"/>
              <w:right w:val="nil"/>
              <w:tl2br w:val="nil"/>
              <w:tr2bl w:val="nil"/>
            </w:tcBorders>
          </w:tcPr>
          <w:p w14:paraId="7321BBA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(2)</w:t>
            </w:r>
          </w:p>
        </w:tc>
        <w:tc>
          <w:tcPr>
            <w:tcW w:w="935" w:type="dxa"/>
            <w:tcBorders>
              <w:top w:val="single" w:color="auto" w:sz="8" w:space="0"/>
              <w:left w:val="nil"/>
              <w:bottom w:val="nil"/>
              <w:right w:val="nil"/>
              <w:tl2br w:val="nil"/>
              <w:tr2bl w:val="nil"/>
            </w:tcBorders>
          </w:tcPr>
          <w:p w14:paraId="7029BE87">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(3)</w:t>
            </w:r>
          </w:p>
        </w:tc>
        <w:tc>
          <w:tcPr>
            <w:tcW w:w="935" w:type="dxa"/>
            <w:tcBorders>
              <w:top w:val="single" w:color="auto" w:sz="8" w:space="0"/>
              <w:left w:val="nil"/>
              <w:bottom w:val="nil"/>
              <w:right w:val="nil"/>
              <w:tl2br w:val="nil"/>
              <w:tr2bl w:val="nil"/>
            </w:tcBorders>
          </w:tcPr>
          <w:p w14:paraId="0C7F236D">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(4)</w:t>
            </w:r>
          </w:p>
        </w:tc>
        <w:tc>
          <w:tcPr>
            <w:tcW w:w="935" w:type="dxa"/>
            <w:tcBorders>
              <w:top w:val="single" w:color="auto" w:sz="8" w:space="0"/>
              <w:left w:val="nil"/>
              <w:bottom w:val="nil"/>
              <w:right w:val="nil"/>
              <w:tl2br w:val="nil"/>
              <w:tr2bl w:val="nil"/>
            </w:tcBorders>
          </w:tcPr>
          <w:p w14:paraId="047ED31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(5)</w:t>
            </w:r>
          </w:p>
        </w:tc>
        <w:tc>
          <w:tcPr>
            <w:tcW w:w="935" w:type="dxa"/>
            <w:tcBorders>
              <w:top w:val="single" w:color="auto" w:sz="8" w:space="0"/>
              <w:left w:val="nil"/>
              <w:bottom w:val="nil"/>
              <w:right w:val="nil"/>
              <w:tl2br w:val="nil"/>
              <w:tr2bl w:val="nil"/>
            </w:tcBorders>
          </w:tcPr>
          <w:p w14:paraId="107589B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(6)</w:t>
            </w:r>
          </w:p>
        </w:tc>
        <w:tc>
          <w:tcPr>
            <w:tcW w:w="935" w:type="dxa"/>
            <w:tcBorders>
              <w:top w:val="single" w:color="auto" w:sz="8" w:space="0"/>
              <w:left w:val="nil"/>
              <w:bottom w:val="nil"/>
              <w:right w:val="nil"/>
              <w:tl2br w:val="nil"/>
              <w:tr2bl w:val="nil"/>
            </w:tcBorders>
            <w:shd w:val="clear" w:color="auto" w:fill="auto"/>
          </w:tcPr>
          <w:p w14:paraId="0831730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7</w:t>
            </w:r>
            <w:r>
              <w:rPr>
                <w:rFonts w:ascii="Times New Roman" w:hAnsi="Times New Roman" w:eastAsia="楷体" w:cs="Times New Roman"/>
                <w:color w:val="000000" w:themeColor="text1"/>
                <w:sz w:val="18"/>
                <w:szCs w:val="18"/>
                <w14:textFill>
                  <w14:solidFill>
                    <w14:schemeClr w14:val="tx1"/>
                  </w14:solidFill>
                </w14:textFill>
              </w:rPr>
              <w:t>)</w:t>
            </w:r>
          </w:p>
        </w:tc>
        <w:tc>
          <w:tcPr>
            <w:tcW w:w="935" w:type="dxa"/>
            <w:tcBorders>
              <w:top w:val="single" w:color="auto" w:sz="8" w:space="0"/>
              <w:left w:val="nil"/>
              <w:bottom w:val="nil"/>
              <w:right w:val="nil"/>
              <w:tl2br w:val="nil"/>
              <w:tr2bl w:val="nil"/>
            </w:tcBorders>
            <w:shd w:val="clear" w:color="auto" w:fill="auto"/>
          </w:tcPr>
          <w:p w14:paraId="6C166779">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8</w:t>
            </w:r>
            <w:r>
              <w:rPr>
                <w:rFonts w:ascii="Times New Roman" w:hAnsi="Times New Roman" w:eastAsia="楷体" w:cs="Times New Roman"/>
                <w:color w:val="000000" w:themeColor="text1"/>
                <w:sz w:val="18"/>
                <w:szCs w:val="18"/>
                <w14:textFill>
                  <w14:solidFill>
                    <w14:schemeClr w14:val="tx1"/>
                  </w14:solidFill>
                </w14:textFill>
              </w:rPr>
              <w:t>)</w:t>
            </w:r>
          </w:p>
        </w:tc>
      </w:tr>
      <w:tr w14:paraId="33E80F59">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51221CE8">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vAlign w:val="center"/>
          </w:tcPr>
          <w:p w14:paraId="24BBC135">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含从未处理组</w:t>
            </w:r>
          </w:p>
        </w:tc>
        <w:tc>
          <w:tcPr>
            <w:tcW w:w="935" w:type="dxa"/>
            <w:tcBorders>
              <w:top w:val="nil"/>
              <w:left w:val="nil"/>
              <w:bottom w:val="nil"/>
              <w:right w:val="nil"/>
              <w:tl2br w:val="nil"/>
              <w:tr2bl w:val="nil"/>
            </w:tcBorders>
            <w:vAlign w:val="center"/>
          </w:tcPr>
          <w:p w14:paraId="51EFC853">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含最早两批高新区</w:t>
            </w:r>
          </w:p>
        </w:tc>
        <w:tc>
          <w:tcPr>
            <w:tcW w:w="935" w:type="dxa"/>
            <w:tcBorders>
              <w:top w:val="nil"/>
              <w:left w:val="nil"/>
              <w:bottom w:val="nil"/>
              <w:right w:val="nil"/>
              <w:tl2br w:val="nil"/>
              <w:tr2bl w:val="nil"/>
            </w:tcBorders>
            <w:vAlign w:val="center"/>
          </w:tcPr>
          <w:p w14:paraId="76E4E93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行业、地区从未变动组</w:t>
            </w:r>
          </w:p>
        </w:tc>
        <w:tc>
          <w:tcPr>
            <w:tcW w:w="935" w:type="dxa"/>
            <w:tcBorders>
              <w:top w:val="nil"/>
              <w:left w:val="nil"/>
              <w:bottom w:val="nil"/>
              <w:right w:val="nil"/>
              <w:tl2br w:val="nil"/>
              <w:tr2bl w:val="nil"/>
            </w:tcBorders>
            <w:vAlign w:val="center"/>
          </w:tcPr>
          <w:p w14:paraId="46D41E14">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全样本</w:t>
            </w:r>
          </w:p>
        </w:tc>
        <w:tc>
          <w:tcPr>
            <w:tcW w:w="935" w:type="dxa"/>
            <w:tcBorders>
              <w:top w:val="nil"/>
              <w:left w:val="nil"/>
              <w:bottom w:val="nil"/>
              <w:right w:val="nil"/>
              <w:tl2br w:val="nil"/>
              <w:tr2bl w:val="nil"/>
            </w:tcBorders>
            <w:vAlign w:val="center"/>
          </w:tcPr>
          <w:p w14:paraId="5292AE2C">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全样本</w:t>
            </w:r>
          </w:p>
        </w:tc>
        <w:tc>
          <w:tcPr>
            <w:tcW w:w="935" w:type="dxa"/>
            <w:tcBorders>
              <w:top w:val="nil"/>
              <w:left w:val="nil"/>
              <w:bottom w:val="nil"/>
              <w:right w:val="nil"/>
              <w:tl2br w:val="nil"/>
              <w:tr2bl w:val="nil"/>
            </w:tcBorders>
            <w:vAlign w:val="center"/>
          </w:tcPr>
          <w:p w14:paraId="60309DB5">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PSM样本</w:t>
            </w:r>
          </w:p>
        </w:tc>
        <w:tc>
          <w:tcPr>
            <w:tcW w:w="935" w:type="dxa"/>
            <w:tcBorders>
              <w:top w:val="nil"/>
              <w:left w:val="nil"/>
              <w:bottom w:val="nil"/>
              <w:right w:val="nil"/>
              <w:tl2br w:val="nil"/>
              <w:tr2bl w:val="nil"/>
            </w:tcBorders>
            <w:vAlign w:val="center"/>
          </w:tcPr>
          <w:p w14:paraId="441F0CC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PSM样本</w:t>
            </w:r>
          </w:p>
        </w:tc>
        <w:tc>
          <w:tcPr>
            <w:tcW w:w="935" w:type="dxa"/>
            <w:tcBorders>
              <w:top w:val="nil"/>
              <w:left w:val="nil"/>
              <w:bottom w:val="nil"/>
              <w:right w:val="nil"/>
              <w:tl2br w:val="nil"/>
              <w:tr2bl w:val="nil"/>
            </w:tcBorders>
            <w:vAlign w:val="center"/>
          </w:tcPr>
          <w:p w14:paraId="763A414D">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PSM样本</w:t>
            </w:r>
          </w:p>
        </w:tc>
      </w:tr>
      <w:tr w14:paraId="73E2F0E3">
        <w:tblPrEx>
          <w:tblCellMar>
            <w:top w:w="0" w:type="dxa"/>
            <w:left w:w="0" w:type="dxa"/>
            <w:bottom w:w="0" w:type="dxa"/>
            <w:right w:w="0" w:type="dxa"/>
          </w:tblCellMar>
        </w:tblPrEx>
        <w:trPr>
          <w:trHeight w:val="308" w:hRule="atLeast"/>
          <w:jc w:val="center"/>
        </w:trPr>
        <w:tc>
          <w:tcPr>
            <w:tcW w:w="1928" w:type="dxa"/>
            <w:tcBorders>
              <w:top w:val="nil"/>
              <w:left w:val="nil"/>
              <w:bottom w:val="single" w:color="auto" w:sz="4" w:space="0"/>
              <w:right w:val="nil"/>
              <w:tl2br w:val="nil"/>
              <w:tr2bl w:val="nil"/>
            </w:tcBorders>
          </w:tcPr>
          <w:p w14:paraId="68A1A438">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变量</w:t>
            </w:r>
          </w:p>
        </w:tc>
        <w:tc>
          <w:tcPr>
            <w:tcW w:w="7480" w:type="dxa"/>
            <w:gridSpan w:val="8"/>
            <w:tcBorders>
              <w:top w:val="nil"/>
              <w:left w:val="nil"/>
              <w:bottom w:val="single" w:color="auto" w:sz="4" w:space="0"/>
              <w:right w:val="nil"/>
              <w:tl2br w:val="nil"/>
              <w:tr2bl w:val="nil"/>
            </w:tcBorders>
          </w:tcPr>
          <w:p w14:paraId="1C25DED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知识溢出接收</w:t>
            </w:r>
          </w:p>
        </w:tc>
      </w:tr>
      <w:tr w14:paraId="287BBE44">
        <w:tblPrEx>
          <w:tblCellMar>
            <w:top w:w="0" w:type="dxa"/>
            <w:left w:w="0" w:type="dxa"/>
            <w:bottom w:w="0" w:type="dxa"/>
            <w:right w:w="0" w:type="dxa"/>
          </w:tblCellMar>
        </w:tblPrEx>
        <w:trPr>
          <w:trHeight w:val="90" w:hRule="atLeast"/>
          <w:jc w:val="center"/>
        </w:trPr>
        <w:tc>
          <w:tcPr>
            <w:tcW w:w="1928" w:type="dxa"/>
            <w:tcBorders>
              <w:top w:val="single" w:color="auto" w:sz="4" w:space="0"/>
              <w:left w:val="nil"/>
              <w:bottom w:val="nil"/>
              <w:right w:val="nil"/>
              <w:tl2br w:val="nil"/>
              <w:tr2bl w:val="nil"/>
            </w:tcBorders>
          </w:tcPr>
          <w:p w14:paraId="64402E4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高新区</w:t>
            </w:r>
            <w:r>
              <w:rPr>
                <w:rFonts w:hint="eastAsia" w:ascii="Times New Roman" w:hAnsi="Times New Roman" w:eastAsia="楷体" w:cs="Times New Roman"/>
                <w:color w:val="000000" w:themeColor="text1"/>
                <w:sz w:val="18"/>
                <w:szCs w:val="18"/>
                <w14:textFill>
                  <w14:solidFill>
                    <w14:schemeClr w14:val="tx1"/>
                  </w14:solidFill>
                </w14:textFill>
              </w:rPr>
              <w:t>设立</w:t>
            </w:r>
          </w:p>
        </w:tc>
        <w:tc>
          <w:tcPr>
            <w:tcW w:w="935" w:type="dxa"/>
            <w:tcBorders>
              <w:top w:val="single" w:color="auto" w:sz="4" w:space="0"/>
              <w:left w:val="nil"/>
              <w:bottom w:val="nil"/>
              <w:right w:val="nil"/>
              <w:tl2br w:val="nil"/>
              <w:tr2bl w:val="nil"/>
            </w:tcBorders>
          </w:tcPr>
          <w:p w14:paraId="0D3D00F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0.074***</w:t>
            </w:r>
          </w:p>
        </w:tc>
        <w:tc>
          <w:tcPr>
            <w:tcW w:w="935" w:type="dxa"/>
            <w:tcBorders>
              <w:top w:val="single" w:color="auto" w:sz="4" w:space="0"/>
              <w:left w:val="nil"/>
              <w:bottom w:val="nil"/>
              <w:right w:val="nil"/>
              <w:tl2br w:val="nil"/>
              <w:tr2bl w:val="nil"/>
            </w:tcBorders>
          </w:tcPr>
          <w:p w14:paraId="7859BD2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0.057**</w:t>
            </w:r>
          </w:p>
        </w:tc>
        <w:tc>
          <w:tcPr>
            <w:tcW w:w="935" w:type="dxa"/>
            <w:tcBorders>
              <w:top w:val="single" w:color="auto" w:sz="4" w:space="0"/>
              <w:left w:val="nil"/>
              <w:bottom w:val="nil"/>
              <w:right w:val="nil"/>
              <w:tl2br w:val="nil"/>
              <w:tr2bl w:val="nil"/>
            </w:tcBorders>
          </w:tcPr>
          <w:p w14:paraId="25BB0D7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0.123***</w:t>
            </w:r>
          </w:p>
        </w:tc>
        <w:tc>
          <w:tcPr>
            <w:tcW w:w="935" w:type="dxa"/>
            <w:tcBorders>
              <w:top w:val="single" w:color="auto" w:sz="4" w:space="0"/>
              <w:left w:val="nil"/>
              <w:bottom w:val="nil"/>
              <w:right w:val="nil"/>
              <w:tl2br w:val="nil"/>
              <w:tr2bl w:val="nil"/>
            </w:tcBorders>
          </w:tcPr>
          <w:p w14:paraId="1401396C">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single" w:color="auto" w:sz="4" w:space="0"/>
              <w:left w:val="nil"/>
              <w:bottom w:val="nil"/>
              <w:right w:val="nil"/>
              <w:tl2br w:val="nil"/>
              <w:tr2bl w:val="nil"/>
            </w:tcBorders>
          </w:tcPr>
          <w:p w14:paraId="0E04A2E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0.094***</w:t>
            </w:r>
          </w:p>
        </w:tc>
        <w:tc>
          <w:tcPr>
            <w:tcW w:w="935" w:type="dxa"/>
            <w:tcBorders>
              <w:top w:val="single" w:color="auto" w:sz="4" w:space="0"/>
              <w:left w:val="nil"/>
              <w:bottom w:val="nil"/>
              <w:right w:val="nil"/>
              <w:tl2br w:val="nil"/>
              <w:tr2bl w:val="nil"/>
            </w:tcBorders>
          </w:tcPr>
          <w:p w14:paraId="62E93F8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w:t>
            </w:r>
            <w:r>
              <w:rPr>
                <w:rFonts w:hint="eastAsia" w:ascii="Times New Roman" w:hAnsi="Times New Roman" w:cs="Times New Roman"/>
                <w:color w:val="000000" w:themeColor="text1"/>
                <w:sz w:val="18"/>
                <w:szCs w:val="18"/>
                <w14:textFill>
                  <w14:solidFill>
                    <w14:schemeClr w14:val="tx1"/>
                  </w14:solidFill>
                </w14:textFill>
              </w:rPr>
              <w:t>216*</w:t>
            </w:r>
            <w:r>
              <w:rPr>
                <w:rFonts w:ascii="Times New Roman" w:hAnsi="Times New Roman" w:cs="Times New Roman"/>
                <w:color w:val="000000" w:themeColor="text1"/>
                <w:sz w:val="18"/>
                <w:szCs w:val="18"/>
                <w14:textFill>
                  <w14:solidFill>
                    <w14:schemeClr w14:val="tx1"/>
                  </w14:solidFill>
                </w14:textFill>
              </w:rPr>
              <w:t>*</w:t>
            </w:r>
          </w:p>
        </w:tc>
        <w:tc>
          <w:tcPr>
            <w:tcW w:w="935" w:type="dxa"/>
            <w:tcBorders>
              <w:top w:val="single" w:color="auto" w:sz="4" w:space="0"/>
              <w:left w:val="nil"/>
              <w:bottom w:val="nil"/>
              <w:right w:val="nil"/>
              <w:tl2br w:val="nil"/>
              <w:tr2bl w:val="nil"/>
            </w:tcBorders>
          </w:tcPr>
          <w:p w14:paraId="2936AA7C">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single" w:color="auto" w:sz="4" w:space="0"/>
              <w:left w:val="nil"/>
              <w:bottom w:val="nil"/>
              <w:right w:val="nil"/>
              <w:tl2br w:val="nil"/>
              <w:tr2bl w:val="nil"/>
            </w:tcBorders>
            <w:shd w:val="clear" w:color="auto" w:fill="auto"/>
          </w:tcPr>
          <w:p w14:paraId="3137105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0.216**</w:t>
            </w:r>
          </w:p>
        </w:tc>
      </w:tr>
      <w:tr w14:paraId="371C3BE9">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2E3F018F">
            <w:pPr>
              <w:jc w:val="center"/>
              <w:rPr>
                <w:rFonts w:ascii="Times New Roman" w:hAnsi="Times New Roman" w:eastAsia="楷体"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22B900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(0.029)</w:t>
            </w:r>
          </w:p>
        </w:tc>
        <w:tc>
          <w:tcPr>
            <w:tcW w:w="935" w:type="dxa"/>
            <w:tcBorders>
              <w:top w:val="nil"/>
              <w:left w:val="nil"/>
              <w:bottom w:val="nil"/>
              <w:right w:val="nil"/>
              <w:tl2br w:val="nil"/>
              <w:tr2bl w:val="nil"/>
            </w:tcBorders>
          </w:tcPr>
          <w:p w14:paraId="1C416EE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(0.029)</w:t>
            </w:r>
          </w:p>
        </w:tc>
        <w:tc>
          <w:tcPr>
            <w:tcW w:w="935" w:type="dxa"/>
            <w:tcBorders>
              <w:top w:val="nil"/>
              <w:left w:val="nil"/>
              <w:bottom w:val="nil"/>
              <w:right w:val="nil"/>
              <w:tl2br w:val="nil"/>
              <w:tr2bl w:val="nil"/>
            </w:tcBorders>
          </w:tcPr>
          <w:p w14:paraId="15477DC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(0.030)</w:t>
            </w:r>
          </w:p>
        </w:tc>
        <w:tc>
          <w:tcPr>
            <w:tcW w:w="935" w:type="dxa"/>
            <w:tcBorders>
              <w:top w:val="nil"/>
              <w:left w:val="nil"/>
              <w:bottom w:val="nil"/>
              <w:right w:val="nil"/>
              <w:tl2br w:val="nil"/>
              <w:tr2bl w:val="nil"/>
            </w:tcBorders>
          </w:tcPr>
          <w:p w14:paraId="72B07B60">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77A146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(0.032)</w:t>
            </w:r>
          </w:p>
        </w:tc>
        <w:tc>
          <w:tcPr>
            <w:tcW w:w="935" w:type="dxa"/>
            <w:tcBorders>
              <w:top w:val="nil"/>
              <w:left w:val="nil"/>
              <w:bottom w:val="nil"/>
              <w:right w:val="nil"/>
              <w:tl2br w:val="nil"/>
              <w:tr2bl w:val="nil"/>
            </w:tcBorders>
          </w:tcPr>
          <w:p w14:paraId="216D771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(0.09</w:t>
            </w:r>
            <w:r>
              <w:rPr>
                <w:rFonts w:hint="eastAsia" w:ascii="Times New Roman" w:hAnsi="Times New Roman" w:cs="Times New Roman"/>
                <w:color w:val="000000" w:themeColor="text1"/>
                <w:sz w:val="18"/>
                <w:szCs w:val="18"/>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w:t>
            </w:r>
          </w:p>
        </w:tc>
        <w:tc>
          <w:tcPr>
            <w:tcW w:w="935" w:type="dxa"/>
            <w:tcBorders>
              <w:top w:val="nil"/>
              <w:left w:val="nil"/>
              <w:bottom w:val="nil"/>
              <w:right w:val="nil"/>
              <w:tl2br w:val="nil"/>
              <w:tr2bl w:val="nil"/>
            </w:tcBorders>
          </w:tcPr>
          <w:p w14:paraId="7F7E1500">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22F89FE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(0.092)</w:t>
            </w:r>
          </w:p>
        </w:tc>
      </w:tr>
      <w:tr w14:paraId="318C0A65">
        <w:tblPrEx>
          <w:tblCellMar>
            <w:top w:w="0" w:type="dxa"/>
            <w:left w:w="0" w:type="dxa"/>
            <w:bottom w:w="0" w:type="dxa"/>
            <w:right w:w="0" w:type="dxa"/>
          </w:tblCellMar>
        </w:tblPrEx>
        <w:trPr>
          <w:trHeight w:val="90" w:hRule="atLeast"/>
          <w:jc w:val="center"/>
        </w:trPr>
        <w:tc>
          <w:tcPr>
            <w:tcW w:w="1928" w:type="dxa"/>
            <w:tcBorders>
              <w:top w:val="nil"/>
              <w:left w:val="nil"/>
              <w:bottom w:val="nil"/>
              <w:right w:val="nil"/>
              <w:tl2br w:val="nil"/>
              <w:tr2bl w:val="nil"/>
            </w:tcBorders>
          </w:tcPr>
          <w:p w14:paraId="51333A4D">
            <w:pPr>
              <w:jc w:val="center"/>
              <w:rPr>
                <w:rFonts w:ascii="Times New Roman" w:hAnsi="Times New Roman" w:eastAsia="楷体"/>
                <w:color w:val="000000" w:themeColor="text1"/>
                <w:sz w:val="18"/>
                <w:szCs w:val="18"/>
                <w14:textFill>
                  <w14:solidFill>
                    <w14:schemeClr w14:val="tx1"/>
                  </w14:solidFill>
                </w14:textFill>
              </w:rPr>
            </w:pPr>
            <w:r>
              <w:rPr>
                <w:rFonts w:hint="eastAsia" w:ascii="Times New Roman" w:hAnsi="Times New Roman" w:eastAsia="楷体"/>
                <w:color w:val="000000" w:themeColor="text1"/>
                <w:sz w:val="18"/>
                <w:szCs w:val="18"/>
                <w14:textFill>
                  <w14:solidFill>
                    <w14:schemeClr w14:val="tx1"/>
                  </w14:solidFill>
                </w14:textFill>
              </w:rPr>
              <w:t>国家级高新区</w:t>
            </w:r>
            <w:r>
              <w:rPr>
                <w:rFonts w:hint="eastAsia" w:ascii="Times New Roman" w:hAnsi="Times New Roman" w:eastAsia="楷体" w:cs="Times New Roman"/>
                <w:color w:val="000000" w:themeColor="text1"/>
                <w:sz w:val="18"/>
                <w:szCs w:val="18"/>
                <w14:textFill>
                  <w14:solidFill>
                    <w14:schemeClr w14:val="tx1"/>
                  </w14:solidFill>
                </w14:textFill>
              </w:rPr>
              <w:t>设立</w:t>
            </w:r>
          </w:p>
        </w:tc>
        <w:tc>
          <w:tcPr>
            <w:tcW w:w="935" w:type="dxa"/>
            <w:tcBorders>
              <w:top w:val="nil"/>
              <w:left w:val="nil"/>
              <w:bottom w:val="nil"/>
              <w:right w:val="nil"/>
              <w:tl2br w:val="nil"/>
              <w:tr2bl w:val="nil"/>
            </w:tcBorders>
          </w:tcPr>
          <w:p w14:paraId="355081F3">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C962948">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7BA9F79">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2D84C99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0.079**</w:t>
            </w:r>
          </w:p>
        </w:tc>
        <w:tc>
          <w:tcPr>
            <w:tcW w:w="935" w:type="dxa"/>
            <w:tcBorders>
              <w:top w:val="nil"/>
              <w:left w:val="nil"/>
              <w:bottom w:val="nil"/>
              <w:right w:val="nil"/>
              <w:tl2br w:val="nil"/>
              <w:tr2bl w:val="nil"/>
            </w:tcBorders>
          </w:tcPr>
          <w:p w14:paraId="5A365728">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1BA874C">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1BE572C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0.387**</w:t>
            </w:r>
          </w:p>
        </w:tc>
        <w:tc>
          <w:tcPr>
            <w:tcW w:w="935" w:type="dxa"/>
            <w:tcBorders>
              <w:top w:val="nil"/>
              <w:left w:val="nil"/>
              <w:bottom w:val="nil"/>
              <w:right w:val="nil"/>
              <w:tl2br w:val="nil"/>
              <w:tr2bl w:val="nil"/>
            </w:tcBorders>
          </w:tcPr>
          <w:p w14:paraId="4C714C61">
            <w:pPr>
              <w:jc w:val="center"/>
              <w:rPr>
                <w:rFonts w:ascii="Times New Roman" w:hAnsi="Times New Roman" w:cs="Times New Roman"/>
                <w:color w:val="000000" w:themeColor="text1"/>
                <w:sz w:val="18"/>
                <w:szCs w:val="18"/>
                <w14:textFill>
                  <w14:solidFill>
                    <w14:schemeClr w14:val="tx1"/>
                  </w14:solidFill>
                </w14:textFill>
              </w:rPr>
            </w:pPr>
          </w:p>
        </w:tc>
      </w:tr>
      <w:tr w14:paraId="715865F7">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64778068">
            <w:pPr>
              <w:jc w:val="center"/>
              <w:rPr>
                <w:rFonts w:ascii="Times New Roman" w:hAnsi="Times New Roman" w:eastAsia="楷体"/>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7860D11">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CB0259C">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1C9FA2BF">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3333416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(0.035)</w:t>
            </w:r>
          </w:p>
        </w:tc>
        <w:tc>
          <w:tcPr>
            <w:tcW w:w="935" w:type="dxa"/>
            <w:tcBorders>
              <w:top w:val="nil"/>
              <w:left w:val="nil"/>
              <w:bottom w:val="nil"/>
              <w:right w:val="nil"/>
              <w:tl2br w:val="nil"/>
              <w:tr2bl w:val="nil"/>
            </w:tcBorders>
          </w:tcPr>
          <w:p w14:paraId="50608885">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2624570">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2F0E9B7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(0.155)</w:t>
            </w:r>
          </w:p>
        </w:tc>
        <w:tc>
          <w:tcPr>
            <w:tcW w:w="935" w:type="dxa"/>
            <w:tcBorders>
              <w:top w:val="nil"/>
              <w:left w:val="nil"/>
              <w:bottom w:val="nil"/>
              <w:right w:val="nil"/>
              <w:tl2br w:val="nil"/>
              <w:tr2bl w:val="nil"/>
            </w:tcBorders>
          </w:tcPr>
          <w:p w14:paraId="5E6F5D3A">
            <w:pPr>
              <w:jc w:val="center"/>
              <w:rPr>
                <w:rFonts w:ascii="Times New Roman" w:hAnsi="Times New Roman" w:cs="Times New Roman"/>
                <w:color w:val="000000" w:themeColor="text1"/>
                <w:sz w:val="18"/>
                <w:szCs w:val="18"/>
                <w14:textFill>
                  <w14:solidFill>
                    <w14:schemeClr w14:val="tx1"/>
                  </w14:solidFill>
                </w14:textFill>
              </w:rPr>
            </w:pPr>
          </w:p>
        </w:tc>
      </w:tr>
      <w:tr w14:paraId="6531CD08">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674CA426">
            <w:pPr>
              <w:jc w:val="center"/>
              <w:rPr>
                <w:rFonts w:ascii="Times New Roman" w:hAnsi="Times New Roman" w:eastAsia="楷体"/>
                <w:color w:val="000000" w:themeColor="text1"/>
                <w:sz w:val="18"/>
                <w:szCs w:val="18"/>
                <w14:textFill>
                  <w14:solidFill>
                    <w14:schemeClr w14:val="tx1"/>
                  </w14:solidFill>
                </w14:textFill>
              </w:rPr>
            </w:pPr>
            <w:r>
              <w:rPr>
                <w:rFonts w:hint="eastAsia" w:ascii="Times New Roman" w:hAnsi="Times New Roman" w:eastAsia="楷体"/>
                <w:color w:val="000000" w:themeColor="text1"/>
                <w:sz w:val="18"/>
                <w:szCs w:val="18"/>
                <w14:textFill>
                  <w14:solidFill>
                    <w14:schemeClr w14:val="tx1"/>
                  </w14:solidFill>
                </w14:textFill>
              </w:rPr>
              <w:t>省级高新区</w:t>
            </w:r>
            <w:r>
              <w:rPr>
                <w:rFonts w:hint="eastAsia" w:ascii="Times New Roman" w:hAnsi="Times New Roman" w:eastAsia="楷体" w:cs="Times New Roman"/>
                <w:color w:val="000000" w:themeColor="text1"/>
                <w:sz w:val="18"/>
                <w:szCs w:val="18"/>
                <w14:textFill>
                  <w14:solidFill>
                    <w14:schemeClr w14:val="tx1"/>
                  </w14:solidFill>
                </w14:textFill>
              </w:rPr>
              <w:t>设立</w:t>
            </w:r>
          </w:p>
        </w:tc>
        <w:tc>
          <w:tcPr>
            <w:tcW w:w="935" w:type="dxa"/>
            <w:tcBorders>
              <w:top w:val="nil"/>
              <w:left w:val="nil"/>
              <w:bottom w:val="nil"/>
              <w:right w:val="nil"/>
              <w:tl2br w:val="nil"/>
              <w:tr2bl w:val="nil"/>
            </w:tcBorders>
          </w:tcPr>
          <w:p w14:paraId="0242238B">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E5A47E4">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884B8BE">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06B0236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0.099**</w:t>
            </w:r>
          </w:p>
        </w:tc>
        <w:tc>
          <w:tcPr>
            <w:tcW w:w="935" w:type="dxa"/>
            <w:tcBorders>
              <w:top w:val="nil"/>
              <w:left w:val="nil"/>
              <w:bottom w:val="nil"/>
              <w:right w:val="nil"/>
              <w:tl2br w:val="nil"/>
              <w:tr2bl w:val="nil"/>
            </w:tcBorders>
          </w:tcPr>
          <w:p w14:paraId="2E49BEE4">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E2D0053">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7F7265A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0.081*</w:t>
            </w:r>
          </w:p>
        </w:tc>
        <w:tc>
          <w:tcPr>
            <w:tcW w:w="935" w:type="dxa"/>
            <w:tcBorders>
              <w:top w:val="nil"/>
              <w:left w:val="nil"/>
              <w:bottom w:val="nil"/>
              <w:right w:val="nil"/>
              <w:tl2br w:val="nil"/>
              <w:tr2bl w:val="nil"/>
            </w:tcBorders>
          </w:tcPr>
          <w:p w14:paraId="62B21739">
            <w:pPr>
              <w:jc w:val="center"/>
              <w:rPr>
                <w:rFonts w:ascii="Times New Roman" w:hAnsi="Times New Roman" w:cs="Times New Roman"/>
                <w:color w:val="000000" w:themeColor="text1"/>
                <w:sz w:val="18"/>
                <w:szCs w:val="18"/>
                <w14:textFill>
                  <w14:solidFill>
                    <w14:schemeClr w14:val="tx1"/>
                  </w14:solidFill>
                </w14:textFill>
              </w:rPr>
            </w:pPr>
          </w:p>
        </w:tc>
      </w:tr>
      <w:tr w14:paraId="3E7D9745">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42939841">
            <w:pPr>
              <w:jc w:val="center"/>
              <w:rPr>
                <w:rFonts w:ascii="Times New Roman" w:hAnsi="Times New Roman" w:eastAsia="楷体"/>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344C21E">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FD7BDD4">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29A726A">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3A2424D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(0.044)</w:t>
            </w:r>
          </w:p>
        </w:tc>
        <w:tc>
          <w:tcPr>
            <w:tcW w:w="935" w:type="dxa"/>
            <w:tcBorders>
              <w:top w:val="nil"/>
              <w:left w:val="nil"/>
              <w:bottom w:val="nil"/>
              <w:right w:val="nil"/>
              <w:tl2br w:val="nil"/>
              <w:tr2bl w:val="nil"/>
            </w:tcBorders>
          </w:tcPr>
          <w:p w14:paraId="17A67898">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86D17F0">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3C3C3F4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(0.047)</w:t>
            </w:r>
          </w:p>
        </w:tc>
        <w:tc>
          <w:tcPr>
            <w:tcW w:w="935" w:type="dxa"/>
            <w:tcBorders>
              <w:top w:val="nil"/>
              <w:left w:val="nil"/>
              <w:bottom w:val="nil"/>
              <w:right w:val="nil"/>
              <w:tl2br w:val="nil"/>
              <w:tr2bl w:val="nil"/>
            </w:tcBorders>
          </w:tcPr>
          <w:p w14:paraId="6E5498FA">
            <w:pPr>
              <w:jc w:val="center"/>
              <w:rPr>
                <w:rFonts w:ascii="Times New Roman" w:hAnsi="Times New Roman" w:cs="Times New Roman"/>
                <w:color w:val="000000" w:themeColor="text1"/>
                <w:sz w:val="18"/>
                <w:szCs w:val="18"/>
                <w14:textFill>
                  <w14:solidFill>
                    <w14:schemeClr w14:val="tx1"/>
                  </w14:solidFill>
                </w14:textFill>
              </w:rPr>
            </w:pPr>
          </w:p>
        </w:tc>
      </w:tr>
      <w:tr w14:paraId="5AC55984">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732113FF">
            <w:pPr>
              <w:jc w:val="center"/>
              <w:rPr>
                <w:rFonts w:ascii="Times New Roman" w:hAnsi="Times New Roman" w:eastAsia="楷体"/>
                <w:color w:val="000000" w:themeColor="text1"/>
                <w:sz w:val="18"/>
                <w:szCs w:val="18"/>
                <w14:textFill>
                  <w14:solidFill>
                    <w14:schemeClr w14:val="tx1"/>
                  </w14:solidFill>
                </w14:textFill>
              </w:rPr>
            </w:pPr>
            <w:r>
              <w:rPr>
                <w:rFonts w:hint="eastAsia" w:ascii="Times New Roman" w:hAnsi="Times New Roman" w:eastAsia="楷体"/>
                <w:color w:val="000000" w:themeColor="text1"/>
                <w:sz w:val="18"/>
                <w:szCs w:val="18"/>
                <w14:textFill>
                  <w14:solidFill>
                    <w14:schemeClr w14:val="tx1"/>
                  </w14:solidFill>
                </w14:textFill>
              </w:rPr>
              <w:t>地址在区内</w:t>
            </w:r>
          </w:p>
        </w:tc>
        <w:tc>
          <w:tcPr>
            <w:tcW w:w="935" w:type="dxa"/>
            <w:tcBorders>
              <w:top w:val="nil"/>
              <w:left w:val="nil"/>
              <w:bottom w:val="nil"/>
              <w:right w:val="nil"/>
              <w:tl2br w:val="nil"/>
              <w:tr2bl w:val="nil"/>
            </w:tcBorders>
          </w:tcPr>
          <w:p w14:paraId="570906FC">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105DDA60">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B8F4CC5">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3810EBD">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491F352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0.014</w:t>
            </w:r>
          </w:p>
        </w:tc>
        <w:tc>
          <w:tcPr>
            <w:tcW w:w="935" w:type="dxa"/>
            <w:tcBorders>
              <w:top w:val="nil"/>
              <w:left w:val="nil"/>
              <w:bottom w:val="nil"/>
              <w:right w:val="nil"/>
              <w:tl2br w:val="nil"/>
              <w:tr2bl w:val="nil"/>
            </w:tcBorders>
          </w:tcPr>
          <w:p w14:paraId="4D475131">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402A2D6">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342DC40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0.052</w:t>
            </w:r>
          </w:p>
        </w:tc>
      </w:tr>
      <w:tr w14:paraId="34D63539">
        <w:tblPrEx>
          <w:tblCellMar>
            <w:top w:w="0" w:type="dxa"/>
            <w:left w:w="0" w:type="dxa"/>
            <w:bottom w:w="0" w:type="dxa"/>
            <w:right w:w="0" w:type="dxa"/>
          </w:tblCellMar>
        </w:tblPrEx>
        <w:trPr>
          <w:trHeight w:val="156" w:hRule="atLeast"/>
          <w:jc w:val="center"/>
        </w:trPr>
        <w:tc>
          <w:tcPr>
            <w:tcW w:w="1928" w:type="dxa"/>
            <w:tcBorders>
              <w:top w:val="nil"/>
              <w:left w:val="nil"/>
              <w:bottom w:val="nil"/>
              <w:right w:val="nil"/>
              <w:tl2br w:val="nil"/>
              <w:tr2bl w:val="nil"/>
            </w:tcBorders>
          </w:tcPr>
          <w:p w14:paraId="60080028">
            <w:pPr>
              <w:jc w:val="center"/>
              <w:rPr>
                <w:rFonts w:ascii="Times New Roman" w:hAnsi="Times New Roman" w:eastAsia="楷体"/>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DFAEB41">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E1FE599">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78B7CEE8">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E89A08E">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40E12E3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(0.022)</w:t>
            </w:r>
          </w:p>
        </w:tc>
        <w:tc>
          <w:tcPr>
            <w:tcW w:w="935" w:type="dxa"/>
            <w:tcBorders>
              <w:top w:val="nil"/>
              <w:left w:val="nil"/>
              <w:bottom w:val="nil"/>
              <w:right w:val="nil"/>
              <w:tl2br w:val="nil"/>
              <w:tr2bl w:val="nil"/>
            </w:tcBorders>
          </w:tcPr>
          <w:p w14:paraId="19B7E561">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3EE78072">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523776D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(0.125)</w:t>
            </w:r>
          </w:p>
        </w:tc>
      </w:tr>
      <w:tr w14:paraId="6C67FFC9">
        <w:tblPrEx>
          <w:tblCellMar>
            <w:top w:w="0" w:type="dxa"/>
            <w:left w:w="0" w:type="dxa"/>
            <w:bottom w:w="0" w:type="dxa"/>
            <w:right w:w="0" w:type="dxa"/>
          </w:tblCellMar>
        </w:tblPrEx>
        <w:trPr>
          <w:trHeight w:val="156" w:hRule="atLeast"/>
          <w:jc w:val="center"/>
        </w:trPr>
        <w:tc>
          <w:tcPr>
            <w:tcW w:w="1928" w:type="dxa"/>
            <w:tcBorders>
              <w:top w:val="nil"/>
              <w:left w:val="nil"/>
              <w:bottom w:val="nil"/>
              <w:right w:val="nil"/>
              <w:tl2br w:val="nil"/>
              <w:tr2bl w:val="nil"/>
            </w:tcBorders>
          </w:tcPr>
          <w:p w14:paraId="18C4AADE">
            <w:pPr>
              <w:jc w:val="center"/>
              <w:rPr>
                <w:rFonts w:ascii="Times New Roman" w:hAnsi="Times New Roman" w:eastAsia="楷体"/>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高新区</w:t>
            </w:r>
            <w:r>
              <w:rPr>
                <w:rFonts w:hint="eastAsia" w:ascii="Times New Roman" w:hAnsi="Times New Roman" w:eastAsia="楷体" w:cs="Times New Roman"/>
                <w:color w:val="000000" w:themeColor="text1"/>
                <w:sz w:val="18"/>
                <w:szCs w:val="18"/>
                <w14:textFill>
                  <w14:solidFill>
                    <w14:schemeClr w14:val="tx1"/>
                  </w14:solidFill>
                </w14:textFill>
              </w:rPr>
              <w:t>设立*</w:t>
            </w:r>
            <w:r>
              <w:rPr>
                <w:rFonts w:hint="eastAsia" w:ascii="Times New Roman" w:hAnsi="Times New Roman" w:eastAsia="楷体"/>
                <w:color w:val="000000" w:themeColor="text1"/>
                <w:sz w:val="18"/>
                <w:szCs w:val="18"/>
                <w14:textFill>
                  <w14:solidFill>
                    <w14:schemeClr w14:val="tx1"/>
                  </w14:solidFill>
                </w14:textFill>
              </w:rPr>
              <w:t>地址在区内</w:t>
            </w:r>
          </w:p>
        </w:tc>
        <w:tc>
          <w:tcPr>
            <w:tcW w:w="935" w:type="dxa"/>
            <w:tcBorders>
              <w:top w:val="nil"/>
              <w:left w:val="nil"/>
              <w:bottom w:val="nil"/>
              <w:right w:val="nil"/>
              <w:tl2br w:val="nil"/>
              <w:tr2bl w:val="nil"/>
            </w:tcBorders>
          </w:tcPr>
          <w:p w14:paraId="4BDBD459">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4B6E4208">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FE815BB">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65968531">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5A8095F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-0.078</w:t>
            </w:r>
          </w:p>
        </w:tc>
        <w:tc>
          <w:tcPr>
            <w:tcW w:w="935" w:type="dxa"/>
            <w:tcBorders>
              <w:top w:val="nil"/>
              <w:left w:val="nil"/>
              <w:bottom w:val="nil"/>
              <w:right w:val="nil"/>
              <w:tl2br w:val="nil"/>
              <w:tr2bl w:val="nil"/>
            </w:tcBorders>
          </w:tcPr>
          <w:p w14:paraId="12063DE3">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1480EB6F">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30D4BD1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0.009</w:t>
            </w:r>
          </w:p>
        </w:tc>
      </w:tr>
      <w:tr w14:paraId="00030B20">
        <w:tblPrEx>
          <w:tblCellMar>
            <w:top w:w="0" w:type="dxa"/>
            <w:left w:w="0" w:type="dxa"/>
            <w:bottom w:w="0" w:type="dxa"/>
            <w:right w:w="0" w:type="dxa"/>
          </w:tblCellMar>
        </w:tblPrEx>
        <w:trPr>
          <w:trHeight w:val="156" w:hRule="atLeast"/>
          <w:jc w:val="center"/>
        </w:trPr>
        <w:tc>
          <w:tcPr>
            <w:tcW w:w="1928" w:type="dxa"/>
            <w:tcBorders>
              <w:top w:val="nil"/>
              <w:left w:val="nil"/>
              <w:bottom w:val="nil"/>
              <w:right w:val="nil"/>
              <w:tl2br w:val="nil"/>
              <w:tr2bl w:val="nil"/>
            </w:tcBorders>
          </w:tcPr>
          <w:p w14:paraId="6CCCC4B1">
            <w:pPr>
              <w:jc w:val="center"/>
              <w:rPr>
                <w:rFonts w:ascii="Times New Roman" w:hAnsi="Times New Roman" w:eastAsia="楷体"/>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06A2B21D">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A97C719">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1BBDC547">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5A45FB4D">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49C68FE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(0.050)</w:t>
            </w:r>
          </w:p>
        </w:tc>
        <w:tc>
          <w:tcPr>
            <w:tcW w:w="935" w:type="dxa"/>
            <w:tcBorders>
              <w:top w:val="nil"/>
              <w:left w:val="nil"/>
              <w:bottom w:val="nil"/>
              <w:right w:val="nil"/>
              <w:tl2br w:val="nil"/>
              <w:tr2bl w:val="nil"/>
            </w:tcBorders>
          </w:tcPr>
          <w:p w14:paraId="618AEC47">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tcPr>
          <w:p w14:paraId="29974074">
            <w:pPr>
              <w:jc w:val="center"/>
              <w:rPr>
                <w:rFonts w:ascii="Times New Roman" w:hAnsi="Times New Roman" w:cs="Times New Roman"/>
                <w:color w:val="000000" w:themeColor="text1"/>
                <w:sz w:val="18"/>
                <w:szCs w:val="18"/>
                <w14:textFill>
                  <w14:solidFill>
                    <w14:schemeClr w14:val="tx1"/>
                  </w14:solidFill>
                </w14:textFill>
              </w:rPr>
            </w:pPr>
          </w:p>
        </w:tc>
        <w:tc>
          <w:tcPr>
            <w:tcW w:w="935" w:type="dxa"/>
            <w:tcBorders>
              <w:top w:val="nil"/>
              <w:left w:val="nil"/>
              <w:bottom w:val="nil"/>
              <w:right w:val="nil"/>
              <w:tl2br w:val="nil"/>
              <w:tr2bl w:val="nil"/>
            </w:tcBorders>
            <w:shd w:val="clear" w:color="auto" w:fill="auto"/>
          </w:tcPr>
          <w:p w14:paraId="2A9061C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(0.125)</w:t>
            </w:r>
          </w:p>
        </w:tc>
      </w:tr>
      <w:tr w14:paraId="7626C5E1">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0FCE6E38">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olor w:val="000000" w:themeColor="text1"/>
                <w:sz w:val="18"/>
                <w:szCs w:val="18"/>
                <w14:textFill>
                  <w14:solidFill>
                    <w14:schemeClr w14:val="tx1"/>
                  </w14:solidFill>
                </w14:textFill>
              </w:rPr>
              <w:t>额外控制变量</w:t>
            </w:r>
          </w:p>
        </w:tc>
        <w:tc>
          <w:tcPr>
            <w:tcW w:w="935" w:type="dxa"/>
            <w:tcBorders>
              <w:top w:val="nil"/>
              <w:left w:val="nil"/>
              <w:bottom w:val="nil"/>
              <w:right w:val="nil"/>
              <w:tl2br w:val="nil"/>
              <w:tr2bl w:val="nil"/>
            </w:tcBorders>
          </w:tcPr>
          <w:p w14:paraId="7D671888">
            <w:pPr>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tcPr>
          <w:p w14:paraId="77251E4A">
            <w:pPr>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tcPr>
          <w:p w14:paraId="6607EF4C">
            <w:pPr>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tcPr>
          <w:p w14:paraId="59741E89">
            <w:pPr>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tcPr>
          <w:p w14:paraId="56C44523">
            <w:pPr>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N</w:t>
            </w:r>
          </w:p>
        </w:tc>
        <w:tc>
          <w:tcPr>
            <w:tcW w:w="935" w:type="dxa"/>
            <w:tcBorders>
              <w:top w:val="nil"/>
              <w:left w:val="nil"/>
              <w:bottom w:val="nil"/>
              <w:right w:val="nil"/>
              <w:tl2br w:val="nil"/>
              <w:tr2bl w:val="nil"/>
            </w:tcBorders>
          </w:tcPr>
          <w:p w14:paraId="429D219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tcPr>
          <w:p w14:paraId="211F4BF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tcPr>
          <w:p w14:paraId="48B22AF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62E8DD71">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48823084">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控制变量</w:t>
            </w:r>
          </w:p>
        </w:tc>
        <w:tc>
          <w:tcPr>
            <w:tcW w:w="935" w:type="dxa"/>
            <w:tcBorders>
              <w:top w:val="nil"/>
              <w:left w:val="nil"/>
              <w:bottom w:val="nil"/>
              <w:right w:val="nil"/>
              <w:tl2br w:val="nil"/>
              <w:tr2bl w:val="nil"/>
            </w:tcBorders>
            <w:vAlign w:val="center"/>
          </w:tcPr>
          <w:p w14:paraId="458C017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720C69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F70381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7F24E05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4C01BF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18FE886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77C3F34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335870B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1818BA6F">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1A84246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个体效应</w:t>
            </w:r>
          </w:p>
        </w:tc>
        <w:tc>
          <w:tcPr>
            <w:tcW w:w="935" w:type="dxa"/>
            <w:tcBorders>
              <w:top w:val="nil"/>
              <w:left w:val="nil"/>
              <w:bottom w:val="nil"/>
              <w:right w:val="nil"/>
              <w:tl2br w:val="nil"/>
              <w:tr2bl w:val="nil"/>
            </w:tcBorders>
            <w:vAlign w:val="center"/>
          </w:tcPr>
          <w:p w14:paraId="5A75298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BC817E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649172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D0971F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E6682F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DBB6DA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2A6AD91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60181CE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282FEE49">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07B4EDDF">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年份</w:t>
            </w: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城市</w:t>
            </w:r>
            <w:r>
              <w:rPr>
                <w:rFonts w:ascii="Times New Roman" w:hAnsi="Times New Roman" w:eastAsia="楷体" w:cs="Times New Roman"/>
                <w:color w:val="000000" w:themeColor="text1"/>
                <w:sz w:val="18"/>
                <w:szCs w:val="18"/>
                <w14:textFill>
                  <w14:solidFill>
                    <w14:schemeClr w14:val="tx1"/>
                  </w14:solidFill>
                </w14:textFill>
              </w:rPr>
              <w:t>效应</w:t>
            </w:r>
          </w:p>
        </w:tc>
        <w:tc>
          <w:tcPr>
            <w:tcW w:w="935" w:type="dxa"/>
            <w:tcBorders>
              <w:top w:val="nil"/>
              <w:left w:val="nil"/>
              <w:bottom w:val="nil"/>
              <w:right w:val="nil"/>
              <w:tl2br w:val="nil"/>
              <w:tr2bl w:val="nil"/>
            </w:tcBorders>
            <w:vAlign w:val="center"/>
          </w:tcPr>
          <w:p w14:paraId="43164AA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493B66F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6EA4B0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654D2CF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CC2453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23E607C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4AC52AF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090F39F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52788E63">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51D51E6A">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行业效应</w:t>
            </w:r>
          </w:p>
        </w:tc>
        <w:tc>
          <w:tcPr>
            <w:tcW w:w="935" w:type="dxa"/>
            <w:tcBorders>
              <w:top w:val="nil"/>
              <w:left w:val="nil"/>
              <w:bottom w:val="nil"/>
              <w:right w:val="nil"/>
              <w:tl2br w:val="nil"/>
              <w:tr2bl w:val="nil"/>
            </w:tcBorders>
            <w:vAlign w:val="center"/>
          </w:tcPr>
          <w:p w14:paraId="77FCB5A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34D2A0A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0F69718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5B35C3A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389FB58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vAlign w:val="center"/>
          </w:tcPr>
          <w:p w14:paraId="62050B4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768DDAC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935" w:type="dxa"/>
            <w:tcBorders>
              <w:top w:val="nil"/>
              <w:left w:val="nil"/>
              <w:bottom w:val="nil"/>
              <w:right w:val="nil"/>
              <w:tl2br w:val="nil"/>
              <w:tr2bl w:val="nil"/>
            </w:tcBorders>
            <w:shd w:val="clear" w:color="auto" w:fill="auto"/>
            <w:vAlign w:val="center"/>
          </w:tcPr>
          <w:p w14:paraId="3B0F3BD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26FFFAAD">
        <w:tblPrEx>
          <w:tblCellMar>
            <w:top w:w="0" w:type="dxa"/>
            <w:left w:w="0" w:type="dxa"/>
            <w:bottom w:w="0" w:type="dxa"/>
            <w:right w:w="0" w:type="dxa"/>
          </w:tblCellMar>
        </w:tblPrEx>
        <w:trPr>
          <w:jc w:val="center"/>
        </w:trPr>
        <w:tc>
          <w:tcPr>
            <w:tcW w:w="1928" w:type="dxa"/>
            <w:tcBorders>
              <w:top w:val="nil"/>
              <w:left w:val="nil"/>
              <w:bottom w:val="nil"/>
              <w:right w:val="nil"/>
              <w:tl2br w:val="nil"/>
              <w:tr2bl w:val="nil"/>
            </w:tcBorders>
          </w:tcPr>
          <w:p w14:paraId="75FB4487">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观测值</w:t>
            </w:r>
          </w:p>
        </w:tc>
        <w:tc>
          <w:tcPr>
            <w:tcW w:w="935" w:type="dxa"/>
            <w:tcBorders>
              <w:top w:val="nil"/>
              <w:left w:val="nil"/>
              <w:bottom w:val="nil"/>
              <w:right w:val="nil"/>
              <w:tl2br w:val="nil"/>
              <w:tr2bl w:val="nil"/>
            </w:tcBorders>
          </w:tcPr>
          <w:p w14:paraId="4380E3B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8,535</w:t>
            </w:r>
          </w:p>
        </w:tc>
        <w:tc>
          <w:tcPr>
            <w:tcW w:w="935" w:type="dxa"/>
            <w:tcBorders>
              <w:top w:val="nil"/>
              <w:left w:val="nil"/>
              <w:bottom w:val="nil"/>
              <w:right w:val="nil"/>
              <w:tl2br w:val="nil"/>
              <w:tr2bl w:val="nil"/>
            </w:tcBorders>
          </w:tcPr>
          <w:p w14:paraId="42AC698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10,029</w:t>
            </w:r>
          </w:p>
        </w:tc>
        <w:tc>
          <w:tcPr>
            <w:tcW w:w="935" w:type="dxa"/>
            <w:tcBorders>
              <w:top w:val="nil"/>
              <w:left w:val="nil"/>
              <w:bottom w:val="nil"/>
              <w:right w:val="nil"/>
              <w:tl2br w:val="nil"/>
              <w:tr2bl w:val="nil"/>
            </w:tcBorders>
          </w:tcPr>
          <w:p w14:paraId="6B5A150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6,591</w:t>
            </w:r>
          </w:p>
        </w:tc>
        <w:tc>
          <w:tcPr>
            <w:tcW w:w="935" w:type="dxa"/>
            <w:tcBorders>
              <w:top w:val="nil"/>
              <w:left w:val="nil"/>
              <w:bottom w:val="nil"/>
              <w:right w:val="nil"/>
              <w:tl2br w:val="nil"/>
              <w:tr2bl w:val="nil"/>
            </w:tcBorders>
          </w:tcPr>
          <w:p w14:paraId="79E64A7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935" w:type="dxa"/>
            <w:tcBorders>
              <w:top w:val="nil"/>
              <w:left w:val="nil"/>
              <w:bottom w:val="nil"/>
              <w:right w:val="nil"/>
              <w:tl2br w:val="nil"/>
              <w:tr2bl w:val="nil"/>
            </w:tcBorders>
          </w:tcPr>
          <w:p w14:paraId="12C4BB9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935" w:type="dxa"/>
            <w:tcBorders>
              <w:top w:val="nil"/>
              <w:left w:val="nil"/>
              <w:bottom w:val="nil"/>
              <w:right w:val="nil"/>
              <w:tl2br w:val="nil"/>
              <w:tr2bl w:val="nil"/>
            </w:tcBorders>
          </w:tcPr>
          <w:p w14:paraId="205D2E0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1,133</w:t>
            </w:r>
          </w:p>
        </w:tc>
        <w:tc>
          <w:tcPr>
            <w:tcW w:w="935" w:type="dxa"/>
            <w:tcBorders>
              <w:top w:val="nil"/>
              <w:left w:val="nil"/>
              <w:bottom w:val="nil"/>
              <w:right w:val="nil"/>
              <w:tl2br w:val="nil"/>
              <w:tr2bl w:val="nil"/>
            </w:tcBorders>
            <w:shd w:val="clear" w:color="auto" w:fill="auto"/>
          </w:tcPr>
          <w:p w14:paraId="31BC8A4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1,133</w:t>
            </w:r>
          </w:p>
        </w:tc>
        <w:tc>
          <w:tcPr>
            <w:tcW w:w="935" w:type="dxa"/>
            <w:tcBorders>
              <w:top w:val="nil"/>
              <w:left w:val="nil"/>
              <w:bottom w:val="nil"/>
              <w:right w:val="nil"/>
              <w:tl2br w:val="nil"/>
              <w:tr2bl w:val="nil"/>
            </w:tcBorders>
            <w:shd w:val="clear" w:color="auto" w:fill="auto"/>
          </w:tcPr>
          <w:p w14:paraId="2911B2A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1,133</w:t>
            </w:r>
          </w:p>
        </w:tc>
      </w:tr>
      <w:tr w14:paraId="525FFA6D">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928" w:type="dxa"/>
            <w:tcBorders>
              <w:top w:val="nil"/>
              <w:left w:val="nil"/>
              <w:bottom w:val="single" w:color="auto" w:sz="8" w:space="0"/>
              <w:right w:val="nil"/>
              <w:tl2br w:val="nil"/>
              <w:tr2bl w:val="nil"/>
            </w:tcBorders>
          </w:tcPr>
          <w:p w14:paraId="45408D4C">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R</w:t>
            </w:r>
            <w:r>
              <w:rPr>
                <w:rFonts w:ascii="Times New Roman" w:hAnsi="Times New Roman" w:eastAsia="楷体" w:cs="Times New Roman"/>
                <w:color w:val="000000" w:themeColor="text1"/>
                <w:sz w:val="18"/>
                <w:szCs w:val="18"/>
                <w:vertAlign w:val="superscript"/>
                <w14:textFill>
                  <w14:solidFill>
                    <w14:schemeClr w14:val="tx1"/>
                  </w14:solidFill>
                </w14:textFill>
              </w:rPr>
              <w:t>2</w:t>
            </w:r>
          </w:p>
        </w:tc>
        <w:tc>
          <w:tcPr>
            <w:tcW w:w="935" w:type="dxa"/>
            <w:tcBorders>
              <w:top w:val="nil"/>
              <w:left w:val="nil"/>
              <w:bottom w:val="single" w:color="auto" w:sz="8" w:space="0"/>
              <w:right w:val="nil"/>
              <w:tl2br w:val="nil"/>
              <w:tr2bl w:val="nil"/>
            </w:tcBorders>
          </w:tcPr>
          <w:p w14:paraId="58797D4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47C77FA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0.994</w:t>
            </w:r>
          </w:p>
        </w:tc>
        <w:tc>
          <w:tcPr>
            <w:tcW w:w="935" w:type="dxa"/>
            <w:tcBorders>
              <w:top w:val="nil"/>
              <w:left w:val="nil"/>
              <w:bottom w:val="single" w:color="auto" w:sz="8" w:space="0"/>
              <w:right w:val="nil"/>
              <w:tl2br w:val="nil"/>
              <w:tr2bl w:val="nil"/>
            </w:tcBorders>
          </w:tcPr>
          <w:p w14:paraId="4B7A183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25FFE64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6532D62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0.995</w:t>
            </w:r>
          </w:p>
        </w:tc>
        <w:tc>
          <w:tcPr>
            <w:tcW w:w="935" w:type="dxa"/>
            <w:tcBorders>
              <w:top w:val="nil"/>
              <w:left w:val="nil"/>
              <w:bottom w:val="single" w:color="auto" w:sz="8" w:space="0"/>
              <w:right w:val="nil"/>
              <w:tl2br w:val="nil"/>
              <w:tr2bl w:val="nil"/>
            </w:tcBorders>
          </w:tcPr>
          <w:p w14:paraId="6A4ED9F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w:t>
            </w:r>
            <w:r>
              <w:rPr>
                <w:rFonts w:hint="eastAsia" w:ascii="Times New Roman" w:hAnsi="Times New Roman" w:cs="Times New Roman"/>
                <w:color w:val="000000" w:themeColor="text1"/>
                <w:sz w:val="18"/>
                <w:szCs w:val="18"/>
                <w14:textFill>
                  <w14:solidFill>
                    <w14:schemeClr w14:val="tx1"/>
                  </w14:solidFill>
                </w14:textFill>
              </w:rPr>
              <w:t>7</w:t>
            </w:r>
          </w:p>
        </w:tc>
        <w:tc>
          <w:tcPr>
            <w:tcW w:w="935" w:type="dxa"/>
            <w:tcBorders>
              <w:top w:val="nil"/>
              <w:left w:val="nil"/>
              <w:bottom w:val="single" w:color="auto" w:sz="8" w:space="0"/>
              <w:right w:val="nil"/>
              <w:tl2br w:val="nil"/>
              <w:tr2bl w:val="nil"/>
            </w:tcBorders>
            <w:shd w:val="clear" w:color="auto" w:fill="auto"/>
          </w:tcPr>
          <w:p w14:paraId="6E0C578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w:t>
            </w:r>
            <w:r>
              <w:rPr>
                <w:rFonts w:hint="eastAsia" w:ascii="Times New Roman" w:hAnsi="Times New Roman" w:cs="Times New Roman"/>
                <w:color w:val="000000" w:themeColor="text1"/>
                <w:sz w:val="18"/>
                <w:szCs w:val="18"/>
                <w14:textFill>
                  <w14:solidFill>
                    <w14:schemeClr w14:val="tx1"/>
                  </w14:solidFill>
                </w14:textFill>
              </w:rPr>
              <w:t>7</w:t>
            </w:r>
          </w:p>
        </w:tc>
        <w:tc>
          <w:tcPr>
            <w:tcW w:w="935" w:type="dxa"/>
            <w:tcBorders>
              <w:top w:val="nil"/>
              <w:left w:val="nil"/>
              <w:bottom w:val="single" w:color="auto" w:sz="8" w:space="0"/>
              <w:right w:val="nil"/>
              <w:tl2br w:val="nil"/>
              <w:tr2bl w:val="nil"/>
            </w:tcBorders>
            <w:shd w:val="clear" w:color="auto" w:fill="auto"/>
          </w:tcPr>
          <w:p w14:paraId="6A86D9D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0.99</w:t>
            </w:r>
            <w:r>
              <w:rPr>
                <w:rFonts w:hint="eastAsia" w:ascii="Times New Roman" w:hAnsi="Times New Roman" w:cs="Times New Roman"/>
                <w:color w:val="000000" w:themeColor="text1"/>
                <w:sz w:val="18"/>
                <w:szCs w:val="18"/>
                <w14:textFill>
                  <w14:solidFill>
                    <w14:schemeClr w14:val="tx1"/>
                  </w14:solidFill>
                </w14:textFill>
              </w:rPr>
              <w:t>7</w:t>
            </w:r>
          </w:p>
        </w:tc>
      </w:tr>
    </w:tbl>
    <w:p w14:paraId="068E63DA">
      <w:pPr>
        <w:shd w:val="clear"/>
        <w:rPr>
          <w:rFonts w:hint="eastAsia" w:ascii="Times New Roman" w:hAnsi="Times New Roman" w:eastAsia="楷体" w:cs="Times New Roman"/>
          <w:sz w:val="18"/>
          <w:szCs w:val="18"/>
        </w:rPr>
      </w:pPr>
      <w:r>
        <w:rPr>
          <w:rFonts w:ascii="黑体" w:hAnsi="黑体" w:eastAsia="黑体" w:cs="黑体"/>
          <w:sz w:val="18"/>
          <w:szCs w:val="18"/>
        </w:rPr>
        <w:t>注：</w:t>
      </w:r>
      <w:r>
        <w:rPr>
          <w:rFonts w:hint="eastAsia" w:ascii="Times New Roman" w:hAnsi="Times New Roman" w:eastAsia="楷体" w:cs="Times New Roman"/>
          <w:sz w:val="18"/>
          <w:szCs w:val="18"/>
        </w:rPr>
        <w:t>额外控制变量为上文创新活动、市场势力与管理团队特征变量集。后三列被解释变量为</w:t>
      </w:r>
      <w:r>
        <w:rPr>
          <w:rFonts w:hint="eastAsia" w:ascii="Times New Roman" w:hAnsi="Times New Roman" w:eastAsia="楷体" w:cs="Times New Roman"/>
          <w:sz w:val="18"/>
          <w:szCs w:val="18"/>
          <w:highlight w:val="none"/>
          <w:lang w:val="en-US" w:eastAsia="zh-CN"/>
        </w:rPr>
        <w:t>结合</w:t>
      </w:r>
      <w:r>
        <w:rPr>
          <w:rFonts w:hint="eastAsia" w:ascii="Times New Roman" w:hAnsi="Times New Roman" w:eastAsia="楷体" w:cs="Times New Roman"/>
          <w:sz w:val="18"/>
          <w:szCs w:val="18"/>
          <w:highlight w:val="none"/>
        </w:rPr>
        <w:t>式（</w:t>
      </w:r>
      <w:r>
        <w:rPr>
          <w:rFonts w:hint="eastAsia" w:ascii="Times New Roman" w:hAnsi="Times New Roman" w:eastAsia="楷体" w:cs="Times New Roman"/>
          <w:sz w:val="18"/>
          <w:szCs w:val="18"/>
          <w:highlight w:val="none"/>
          <w:lang w:val="en-US" w:eastAsia="zh-CN"/>
        </w:rPr>
        <w:t>2</w:t>
      </w:r>
      <w:r>
        <w:rPr>
          <w:rFonts w:hint="eastAsia" w:ascii="Times New Roman" w:hAnsi="Times New Roman" w:eastAsia="楷体" w:cs="Times New Roman"/>
          <w:sz w:val="18"/>
          <w:szCs w:val="18"/>
          <w:highlight w:val="none"/>
        </w:rPr>
        <w:t>）</w:t>
      </w:r>
      <w:r>
        <w:rPr>
          <w:rFonts w:hint="eastAsia" w:ascii="Times New Roman" w:hAnsi="Times New Roman" w:eastAsia="楷体" w:cs="Times New Roman"/>
          <w:sz w:val="18"/>
          <w:szCs w:val="18"/>
        </w:rPr>
        <w:t>设置的知识溢出接收变量，使用匹配样本估计。“地址在区内”变量是企业处于园区内的虚拟变量。</w:t>
      </w:r>
    </w:p>
    <w:p w14:paraId="1708E238">
      <w:pPr>
        <w:shd w:val="clear"/>
        <w:rPr>
          <w:rFonts w:hint="eastAsia" w:ascii="Times New Roman" w:hAnsi="Times New Roman" w:eastAsia="楷体" w:cs="Times New Roman"/>
          <w:sz w:val="18"/>
          <w:szCs w:val="18"/>
        </w:rPr>
      </w:pPr>
    </w:p>
    <w:p w14:paraId="41091EFF">
      <w:pPr>
        <w:widowControl/>
        <w:shd w:val="clear" w:color="auto"/>
        <w:jc w:val="center"/>
        <w:rPr>
          <w:rFonts w:hint="eastAsia" w:ascii="仿宋" w:hAnsi="仿宋" w:eastAsia="仿宋" w:cs="Times New Roman"/>
          <w:b/>
          <w:kern w:val="0"/>
          <w:sz w:val="28"/>
          <w:szCs w:val="28"/>
          <w:lang w:eastAsia="zh-CN"/>
        </w:rPr>
      </w:pPr>
      <w:r>
        <w:rPr>
          <w:rFonts w:hint="eastAsia" w:ascii="仿宋" w:hAnsi="仿宋" w:eastAsia="仿宋" w:cs="Times New Roman"/>
          <w:b/>
          <w:kern w:val="0"/>
          <w:sz w:val="28"/>
          <w:szCs w:val="28"/>
        </w:rPr>
        <w:t>附录</w:t>
      </w:r>
      <w:r>
        <w:rPr>
          <w:rFonts w:hint="eastAsia" w:ascii="仿宋" w:hAnsi="仿宋" w:eastAsia="仿宋" w:cs="Times New Roman"/>
          <w:b/>
          <w:kern w:val="0"/>
          <w:sz w:val="28"/>
          <w:szCs w:val="28"/>
          <w:lang w:val="en-US" w:eastAsia="zh-CN"/>
        </w:rPr>
        <w:t>2</w:t>
      </w:r>
      <w:r>
        <w:rPr>
          <w:rFonts w:ascii="仿宋" w:hAnsi="仿宋" w:eastAsia="仿宋" w:cs="Times New Roman"/>
          <w:b/>
          <w:kern w:val="0"/>
          <w:sz w:val="28"/>
          <w:szCs w:val="28"/>
        </w:rPr>
        <w:t xml:space="preserve"> </w:t>
      </w:r>
      <w:r>
        <w:rPr>
          <w:rFonts w:hint="eastAsia" w:ascii="仿宋" w:hAnsi="仿宋" w:eastAsia="仿宋" w:cs="Times New Roman"/>
          <w:b/>
          <w:kern w:val="0"/>
          <w:sz w:val="28"/>
          <w:szCs w:val="28"/>
        </w:rPr>
        <w:t xml:space="preserve"> </w:t>
      </w:r>
      <w:r>
        <w:rPr>
          <w:rFonts w:hint="eastAsia" w:ascii="仿宋" w:hAnsi="仿宋" w:eastAsia="仿宋" w:cs="Times New Roman"/>
          <w:b/>
          <w:kern w:val="0"/>
          <w:sz w:val="28"/>
          <w:szCs w:val="28"/>
          <w:lang w:val="en-US" w:eastAsia="zh-CN"/>
        </w:rPr>
        <w:t>拓展</w:t>
      </w:r>
      <w:r>
        <w:rPr>
          <w:rFonts w:hint="eastAsia" w:ascii="仿宋" w:hAnsi="仿宋" w:eastAsia="仿宋" w:cs="Times New Roman"/>
          <w:b/>
          <w:kern w:val="0"/>
          <w:sz w:val="28"/>
          <w:szCs w:val="28"/>
        </w:rPr>
        <w:t>性</w:t>
      </w:r>
      <w:r>
        <w:rPr>
          <w:rFonts w:hint="eastAsia" w:ascii="仿宋" w:hAnsi="仿宋" w:eastAsia="仿宋" w:cs="Times New Roman"/>
          <w:b/>
          <w:kern w:val="0"/>
          <w:sz w:val="28"/>
          <w:szCs w:val="28"/>
          <w:lang w:val="en-US" w:eastAsia="zh-CN"/>
        </w:rPr>
        <w:t>分析</w:t>
      </w:r>
    </w:p>
    <w:p w14:paraId="20DEA654">
      <w:pPr>
        <w:spacing w:line="336" w:lineRule="exact"/>
        <w:ind w:firstLine="420" w:firstLineChars="200"/>
        <w:outlineLvl w:val="1"/>
        <w:rPr>
          <w:rFonts w:hint="eastAsia" w:ascii="黑体" w:hAnsi="黑体" w:eastAsia="黑体" w:cs="黑体"/>
          <w:bCs/>
        </w:rPr>
      </w:pPr>
      <w:r>
        <w:rPr>
          <w:rFonts w:hint="eastAsia" w:ascii="黑体" w:hAnsi="黑体" w:eastAsia="黑体" w:cs="黑体"/>
          <w:szCs w:val="21"/>
          <w:lang w:bidi="ar"/>
        </w:rPr>
        <w:t>(一)</w:t>
      </w:r>
      <w:r>
        <w:rPr>
          <w:rFonts w:hint="eastAsia" w:ascii="黑体" w:hAnsi="黑体" w:eastAsia="黑体" w:cs="黑体"/>
          <w:bCs/>
        </w:rPr>
        <w:t>不同层级高新区创新作用分化的原因探讨</w:t>
      </w:r>
    </w:p>
    <w:p w14:paraId="189FA9C1">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不同层级</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的绩效差异是否与其中不同所有制企业的差异化表现相关？现有研究表明，得益于规模设施、政策支持和管理体制上的优势，国家级高新区相较于省级高新区存在更显著的创新激励效应，而省级开发区则可能挤出创新（蔡庆丰等，2021）。沿着叶静怡等（2019）关于国有企业具有更多基础性研发与更大知识溢出的研究思路，我们尝试从知识溢出与企业所有制的角度解释不同层级</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的作用差异，为现有关于高新区乃至地区创新发展的差异现象寻找更多线索。</w:t>
      </w:r>
    </w:p>
    <w:p w14:paraId="403FFE4C">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联系机制分析结果，我们通过区分国家级与省级高新区、国有企业与非国有企业，设置虚拟变量后分别做交互，检验不同</w:t>
      </w:r>
      <w:r>
        <w:rPr>
          <w:rFonts w:hint="eastAsia" w:ascii="Times New Roman" w:hAnsi="Times New Roman" w:cs="Times New Roman"/>
          <w:color w:val="000000" w:themeColor="text1"/>
          <w:lang w:val="en-US" w:eastAsia="zh-CN"/>
          <w14:textFill>
            <w14:solidFill>
              <w14:schemeClr w14:val="tx1"/>
            </w14:solidFill>
          </w14:textFill>
        </w:rPr>
        <w:t>层级高新区</w:t>
      </w:r>
      <w:r>
        <w:rPr>
          <w:rFonts w:hint="eastAsia" w:ascii="Times New Roman" w:hAnsi="Times New Roman" w:cs="Times New Roman"/>
          <w:color w:val="000000" w:themeColor="text1"/>
          <w14:textFill>
            <w14:solidFill>
              <w14:schemeClr w14:val="tx1"/>
            </w14:solidFill>
          </w14:textFill>
        </w:rPr>
        <w:t>及不同企业的变化差异。</w:t>
      </w:r>
      <w:r>
        <w:rPr>
          <w:rFonts w:hint="eastAsia" w:ascii="Times New Roman" w:hAnsi="Times New Roman" w:cs="Times New Roman"/>
          <w:color w:val="000000" w:themeColor="text1"/>
          <w:lang w:val="en-US" w:eastAsia="zh-CN"/>
          <w14:textFill>
            <w14:solidFill>
              <w14:schemeClr w14:val="tx1"/>
            </w14:solidFill>
          </w14:textFill>
        </w:rPr>
        <w:t>附</w:t>
      </w:r>
      <w:r>
        <w:rPr>
          <w:rFonts w:hint="eastAsia"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3</w:t>
      </w:r>
      <w:r>
        <w:rPr>
          <w:rFonts w:hint="eastAsia" w:ascii="Times New Roman" w:hAnsi="Times New Roman" w:cs="Times New Roman"/>
          <w:color w:val="000000" w:themeColor="text1"/>
          <w14:textFill>
            <w14:solidFill>
              <w14:schemeClr w14:val="tx1"/>
            </w14:solidFill>
          </w14:textFill>
        </w:rPr>
        <w:t>结果进一步呈现了更为细致的作用差异，前三列结果表明，国家级高新区对企业与地区相同领域专利数未产生显著影响；省级高新区主要是通过引导非国有企业创新以促进其与地区相似技术领域的增加，对国有企业未产生显著影响。后三列结果说明，国家级高新区通过引导非国有企业创新以增加其优势领域，对国有企业未产生显著影响；省级高新区则会导致非国有企业优势领域减少、国有企业优势领域增加。</w:t>
      </w:r>
    </w:p>
    <w:p w14:paraId="720B7163">
      <w:pPr>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此处结果与前文分析相吻合，并为我们展现了不同层级</w:t>
      </w:r>
      <w:r>
        <w:rPr>
          <w:rFonts w:hint="eastAsia" w:ascii="Times New Roman" w:hAnsi="Times New Roman" w:cs="Times New Roman"/>
          <w:color w:val="000000" w:themeColor="text1"/>
          <w:lang w:val="en-US" w:eastAsia="zh-CN"/>
          <w14:textFill>
            <w14:solidFill>
              <w14:schemeClr w14:val="tx1"/>
            </w14:solidFill>
          </w14:textFill>
        </w:rPr>
        <w:t>高新区</w:t>
      </w:r>
      <w:r>
        <w:rPr>
          <w:rFonts w:hint="eastAsia" w:ascii="Times New Roman" w:hAnsi="Times New Roman" w:cs="Times New Roman"/>
          <w:color w:val="000000" w:themeColor="text1"/>
          <w14:textFill>
            <w14:solidFill>
              <w14:schemeClr w14:val="tx1"/>
            </w14:solidFill>
          </w14:textFill>
        </w:rPr>
        <w:t>作用分化的可能成因。主要是不同层级高新区对于非国有企业优势领域的影响存在差异，省级高新区未能引导非国有企业提升优势领域类别数，且作用于国有企业的积极影响不足以抵消非国有企业的负面影响，一方面使得上文机制检验出现省级高新区与国家级高新区作用路径不一致的情况；另一方面也导致了现有文献关于省级高新区表现不如国家级高新区的结论出现（蔡庆丰等，2021）。由此提醒我们，由于筛选机制、吸引力度的差异，省级高新区区县非国有企业的创新能力可能相对弱于国家级高新区区县中的同类群体，需要受到重视并加以引导。</w:t>
      </w:r>
    </w:p>
    <w:p w14:paraId="3C09E39E">
      <w:pPr>
        <w:pStyle w:val="6"/>
        <w:spacing w:before="156" w:beforeLines="50" w:line="240" w:lineRule="auto"/>
        <w:ind w:firstLine="420"/>
        <w:jc w:val="left"/>
        <w:outlineLvl w:val="3"/>
        <w:rPr>
          <w:rFonts w:ascii="黑体" w:eastAsia="黑体" w:cs="Times New Roman"/>
          <w:b w:val="0"/>
          <w:bCs w:val="0"/>
          <w:color w:val="auto"/>
          <w:kern w:val="2"/>
          <w:sz w:val="21"/>
        </w:rPr>
      </w:pPr>
      <w:r>
        <w:rPr>
          <w:rFonts w:hint="eastAsia" w:ascii="黑体" w:eastAsia="黑体" w:cs="Times New Roman"/>
          <w:b w:val="0"/>
          <w:bCs w:val="0"/>
          <w:color w:val="auto"/>
          <w:kern w:val="2"/>
          <w:sz w:val="21"/>
          <w:lang w:val="en-US" w:eastAsia="zh-CN"/>
        </w:rPr>
        <w:t>附</w:t>
      </w:r>
      <w:r>
        <w:rPr>
          <w:rFonts w:ascii="黑体" w:eastAsia="黑体" w:cs="Times New Roman"/>
          <w:b w:val="0"/>
          <w:bCs w:val="0"/>
          <w:color w:val="auto"/>
          <w:kern w:val="2"/>
          <w:sz w:val="21"/>
        </w:rPr>
        <w:t xml:space="preserve">表 </w:t>
      </w:r>
      <w:r>
        <w:rPr>
          <w:rFonts w:hint="eastAsia" w:eastAsia="黑体" w:cs="Times New Roman"/>
          <w:color w:val="auto"/>
          <w:kern w:val="2"/>
          <w:sz w:val="21"/>
          <w:lang w:val="en-US" w:eastAsia="zh-CN"/>
        </w:rPr>
        <w:t>3</w:t>
      </w:r>
      <w:r>
        <w:rPr>
          <w:rFonts w:hint="eastAsia" w:ascii="黑体" w:eastAsia="黑体"/>
          <w:b w:val="0"/>
          <w:bCs w:val="0"/>
          <w:color w:val="auto"/>
          <w:kern w:val="2"/>
          <w:sz w:val="21"/>
        </w:rPr>
        <w:t xml:space="preserve">                          </w:t>
      </w:r>
      <w:r>
        <w:rPr>
          <w:rFonts w:hint="eastAsia" w:ascii="黑体" w:eastAsia="黑体" w:cs="Times New Roman"/>
          <w:b w:val="0"/>
          <w:bCs w:val="0"/>
          <w:color w:val="auto"/>
          <w:kern w:val="2"/>
          <w:sz w:val="21"/>
        </w:rPr>
        <w:t>高新区设立对不同企业的影响</w:t>
      </w:r>
    </w:p>
    <w:tbl>
      <w:tblPr>
        <w:tblStyle w:val="3"/>
        <w:tblW w:w="8331" w:type="dxa"/>
        <w:jc w:val="center"/>
        <w:tblLayout w:type="fixed"/>
        <w:tblCellMar>
          <w:top w:w="0" w:type="dxa"/>
          <w:left w:w="51" w:type="dxa"/>
          <w:bottom w:w="0" w:type="dxa"/>
          <w:right w:w="51" w:type="dxa"/>
        </w:tblCellMar>
      </w:tblPr>
      <w:tblGrid>
        <w:gridCol w:w="2211"/>
        <w:gridCol w:w="1020"/>
        <w:gridCol w:w="1020"/>
        <w:gridCol w:w="1020"/>
        <w:gridCol w:w="1020"/>
        <w:gridCol w:w="1020"/>
        <w:gridCol w:w="1020"/>
      </w:tblGrid>
      <w:tr w14:paraId="1AB79A96">
        <w:tblPrEx>
          <w:tblCellMar>
            <w:top w:w="0" w:type="dxa"/>
            <w:left w:w="51" w:type="dxa"/>
            <w:bottom w:w="0" w:type="dxa"/>
            <w:right w:w="51" w:type="dxa"/>
          </w:tblCellMar>
        </w:tblPrEx>
        <w:trPr>
          <w:jc w:val="center"/>
        </w:trPr>
        <w:tc>
          <w:tcPr>
            <w:tcW w:w="2211" w:type="dxa"/>
            <w:tcBorders>
              <w:top w:val="single" w:color="auto" w:sz="8" w:space="0"/>
              <w:left w:val="nil"/>
              <w:bottom w:val="nil"/>
              <w:right w:val="nil"/>
              <w:tl2br w:val="nil"/>
              <w:tr2bl w:val="nil"/>
            </w:tcBorders>
          </w:tcPr>
          <w:p w14:paraId="626DF997">
            <w:pPr>
              <w:jc w:val="center"/>
              <w:rPr>
                <w:rFonts w:ascii="Times New Roman" w:hAnsi="Times New Roman" w:eastAsia="楷体" w:cs="Times New Roman"/>
                <w:color w:val="000000" w:themeColor="text1"/>
                <w:sz w:val="18"/>
                <w:szCs w:val="18"/>
                <w14:textFill>
                  <w14:solidFill>
                    <w14:schemeClr w14:val="tx1"/>
                  </w14:solidFill>
                </w14:textFill>
              </w:rPr>
            </w:pPr>
          </w:p>
        </w:tc>
        <w:tc>
          <w:tcPr>
            <w:tcW w:w="1020" w:type="dxa"/>
            <w:tcBorders>
              <w:top w:val="single" w:color="auto" w:sz="8" w:space="0"/>
              <w:left w:val="nil"/>
              <w:bottom w:val="nil"/>
              <w:right w:val="nil"/>
              <w:tl2br w:val="nil"/>
              <w:tr2bl w:val="nil"/>
            </w:tcBorders>
          </w:tcPr>
          <w:p w14:paraId="300D03DA">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(1)</w:t>
            </w:r>
          </w:p>
        </w:tc>
        <w:tc>
          <w:tcPr>
            <w:tcW w:w="1020" w:type="dxa"/>
            <w:tcBorders>
              <w:top w:val="single" w:color="auto" w:sz="8" w:space="0"/>
              <w:left w:val="nil"/>
              <w:bottom w:val="nil"/>
              <w:right w:val="nil"/>
              <w:tl2br w:val="nil"/>
              <w:tr2bl w:val="nil"/>
            </w:tcBorders>
          </w:tcPr>
          <w:p w14:paraId="7E598E8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(2)</w:t>
            </w:r>
          </w:p>
        </w:tc>
        <w:tc>
          <w:tcPr>
            <w:tcW w:w="1020" w:type="dxa"/>
            <w:tcBorders>
              <w:top w:val="single" w:color="auto" w:sz="8" w:space="0"/>
              <w:left w:val="nil"/>
              <w:bottom w:val="nil"/>
              <w:right w:val="nil"/>
              <w:tl2br w:val="nil"/>
              <w:tr2bl w:val="nil"/>
            </w:tcBorders>
          </w:tcPr>
          <w:p w14:paraId="4CBE6E38">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(3)</w:t>
            </w:r>
          </w:p>
        </w:tc>
        <w:tc>
          <w:tcPr>
            <w:tcW w:w="1020" w:type="dxa"/>
            <w:tcBorders>
              <w:top w:val="single" w:color="auto" w:sz="8" w:space="0"/>
              <w:left w:val="nil"/>
              <w:bottom w:val="nil"/>
              <w:right w:val="nil"/>
              <w:tl2br w:val="nil"/>
              <w:tr2bl w:val="nil"/>
            </w:tcBorders>
          </w:tcPr>
          <w:p w14:paraId="409740C5">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(4)</w:t>
            </w:r>
          </w:p>
        </w:tc>
        <w:tc>
          <w:tcPr>
            <w:tcW w:w="1020" w:type="dxa"/>
            <w:tcBorders>
              <w:top w:val="single" w:color="auto" w:sz="8" w:space="0"/>
              <w:left w:val="nil"/>
              <w:bottom w:val="nil"/>
              <w:right w:val="nil"/>
              <w:tl2br w:val="nil"/>
              <w:tr2bl w:val="nil"/>
            </w:tcBorders>
          </w:tcPr>
          <w:p w14:paraId="059CAB0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(5)</w:t>
            </w:r>
          </w:p>
        </w:tc>
        <w:tc>
          <w:tcPr>
            <w:tcW w:w="1020" w:type="dxa"/>
            <w:tcBorders>
              <w:top w:val="single" w:color="auto" w:sz="8" w:space="0"/>
              <w:left w:val="nil"/>
              <w:bottom w:val="nil"/>
              <w:right w:val="nil"/>
              <w:tl2br w:val="nil"/>
              <w:tr2bl w:val="nil"/>
            </w:tcBorders>
          </w:tcPr>
          <w:p w14:paraId="6659B668">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(6)</w:t>
            </w:r>
          </w:p>
        </w:tc>
      </w:tr>
      <w:tr w14:paraId="303B7158">
        <w:tblPrEx>
          <w:tblCellMar>
            <w:top w:w="0" w:type="dxa"/>
            <w:left w:w="51" w:type="dxa"/>
            <w:bottom w:w="0" w:type="dxa"/>
            <w:right w:w="51" w:type="dxa"/>
          </w:tblCellMar>
        </w:tblPrEx>
        <w:trPr>
          <w:trHeight w:val="308" w:hRule="atLeast"/>
          <w:jc w:val="center"/>
        </w:trPr>
        <w:tc>
          <w:tcPr>
            <w:tcW w:w="2211" w:type="dxa"/>
            <w:tcBorders>
              <w:top w:val="nil"/>
              <w:left w:val="nil"/>
              <w:bottom w:val="single" w:color="auto" w:sz="4" w:space="0"/>
              <w:right w:val="nil"/>
              <w:tl2br w:val="nil"/>
              <w:tr2bl w:val="nil"/>
            </w:tcBorders>
          </w:tcPr>
          <w:p w14:paraId="10B22810">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变量</w:t>
            </w:r>
          </w:p>
        </w:tc>
        <w:tc>
          <w:tcPr>
            <w:tcW w:w="3060" w:type="dxa"/>
            <w:gridSpan w:val="3"/>
            <w:tcBorders>
              <w:top w:val="nil"/>
              <w:left w:val="nil"/>
              <w:bottom w:val="single" w:color="auto" w:sz="4" w:space="0"/>
              <w:right w:val="nil"/>
              <w:tl2br w:val="nil"/>
              <w:tr2bl w:val="nil"/>
            </w:tcBorders>
          </w:tcPr>
          <w:p w14:paraId="1DB7B0CD">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地区相同领域专利数</w:t>
            </w:r>
          </w:p>
        </w:tc>
        <w:tc>
          <w:tcPr>
            <w:tcW w:w="3060" w:type="dxa"/>
            <w:gridSpan w:val="3"/>
            <w:tcBorders>
              <w:top w:val="nil"/>
              <w:left w:val="nil"/>
              <w:bottom w:val="single" w:color="auto" w:sz="4" w:space="0"/>
              <w:right w:val="nil"/>
              <w:tl2br w:val="nil"/>
              <w:tr2bl w:val="nil"/>
            </w:tcBorders>
          </w:tcPr>
          <w:p w14:paraId="2B066AC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优势领域类别数</w:t>
            </w:r>
          </w:p>
        </w:tc>
      </w:tr>
      <w:tr w14:paraId="484F4546">
        <w:tblPrEx>
          <w:tblCellMar>
            <w:top w:w="0" w:type="dxa"/>
            <w:left w:w="51" w:type="dxa"/>
            <w:bottom w:w="0" w:type="dxa"/>
            <w:right w:w="51" w:type="dxa"/>
          </w:tblCellMar>
        </w:tblPrEx>
        <w:trPr>
          <w:trHeight w:val="90" w:hRule="atLeast"/>
          <w:jc w:val="center"/>
        </w:trPr>
        <w:tc>
          <w:tcPr>
            <w:tcW w:w="2211" w:type="dxa"/>
            <w:tcBorders>
              <w:top w:val="single" w:color="auto" w:sz="4" w:space="0"/>
              <w:left w:val="nil"/>
              <w:bottom w:val="nil"/>
              <w:right w:val="nil"/>
              <w:tl2br w:val="nil"/>
              <w:tr2bl w:val="nil"/>
            </w:tcBorders>
            <w:vAlign w:val="center"/>
          </w:tcPr>
          <w:p w14:paraId="73780C04">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国家级</w:t>
            </w:r>
            <w:r>
              <w:rPr>
                <w:rFonts w:ascii="Times New Roman" w:hAnsi="Times New Roman" w:eastAsia="楷体" w:cs="Times New Roman"/>
                <w:color w:val="000000" w:themeColor="text1"/>
                <w:sz w:val="18"/>
                <w:szCs w:val="18"/>
                <w14:textFill>
                  <w14:solidFill>
                    <w14:schemeClr w14:val="tx1"/>
                  </w14:solidFill>
                </w14:textFill>
              </w:rPr>
              <w:t>高新区</w:t>
            </w:r>
            <w:r>
              <w:rPr>
                <w:rFonts w:hint="eastAsia" w:ascii="Times New Roman" w:hAnsi="Times New Roman" w:eastAsia="楷体" w:cs="Times New Roman"/>
                <w:color w:val="000000" w:themeColor="text1"/>
                <w:sz w:val="18"/>
                <w:szCs w:val="18"/>
                <w14:textFill>
                  <w14:solidFill>
                    <w14:schemeClr w14:val="tx1"/>
                  </w14:solidFill>
                </w14:textFill>
              </w:rPr>
              <w:t>设立</w:t>
            </w:r>
          </w:p>
        </w:tc>
        <w:tc>
          <w:tcPr>
            <w:tcW w:w="1020" w:type="dxa"/>
            <w:tcBorders>
              <w:top w:val="single" w:color="auto" w:sz="4" w:space="0"/>
              <w:left w:val="nil"/>
              <w:bottom w:val="nil"/>
              <w:right w:val="nil"/>
              <w:tl2br w:val="nil"/>
              <w:tr2bl w:val="nil"/>
            </w:tcBorders>
          </w:tcPr>
          <w:p w14:paraId="5F71E77E">
            <w:pPr>
              <w:jc w:val="center"/>
              <w:rPr>
                <w:rFonts w:hint="eastAsia"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-0.18</w:t>
            </w:r>
            <w:r>
              <w:rPr>
                <w:rFonts w:hint="eastAsia" w:ascii="Times New Roman" w:hAnsi="Times New Roman" w:cs="Times New Roman"/>
                <w:color w:val="000000" w:themeColor="text1"/>
                <w:sz w:val="18"/>
                <w:szCs w:val="18"/>
                <w:lang w:val="en-US" w:eastAsia="zh-CN"/>
                <w14:textFill>
                  <w14:solidFill>
                    <w14:schemeClr w14:val="tx1"/>
                  </w14:solidFill>
                </w14:textFill>
              </w:rPr>
              <w:t>4</w:t>
            </w:r>
          </w:p>
        </w:tc>
        <w:tc>
          <w:tcPr>
            <w:tcW w:w="1020" w:type="dxa"/>
            <w:tcBorders>
              <w:top w:val="single" w:color="auto" w:sz="4" w:space="0"/>
              <w:left w:val="nil"/>
              <w:bottom w:val="nil"/>
              <w:right w:val="nil"/>
              <w:tl2br w:val="nil"/>
              <w:tr2bl w:val="nil"/>
            </w:tcBorders>
          </w:tcPr>
          <w:p w14:paraId="2FCAB84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-0.184</w:t>
            </w:r>
          </w:p>
        </w:tc>
        <w:tc>
          <w:tcPr>
            <w:tcW w:w="1020" w:type="dxa"/>
            <w:tcBorders>
              <w:top w:val="single" w:color="auto" w:sz="4" w:space="0"/>
              <w:left w:val="nil"/>
              <w:bottom w:val="nil"/>
              <w:right w:val="nil"/>
              <w:tl2br w:val="nil"/>
              <w:tr2bl w:val="nil"/>
            </w:tcBorders>
          </w:tcPr>
          <w:p w14:paraId="0F0D083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-0.188</w:t>
            </w:r>
          </w:p>
        </w:tc>
        <w:tc>
          <w:tcPr>
            <w:tcW w:w="1020" w:type="dxa"/>
            <w:tcBorders>
              <w:top w:val="single" w:color="auto" w:sz="4" w:space="0"/>
              <w:left w:val="nil"/>
              <w:bottom w:val="nil"/>
              <w:right w:val="nil"/>
              <w:tl2br w:val="nil"/>
              <w:tr2bl w:val="nil"/>
            </w:tcBorders>
          </w:tcPr>
          <w:p w14:paraId="01FFE55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0.010*</w:t>
            </w:r>
          </w:p>
        </w:tc>
        <w:tc>
          <w:tcPr>
            <w:tcW w:w="1020" w:type="dxa"/>
            <w:tcBorders>
              <w:top w:val="single" w:color="auto" w:sz="4" w:space="0"/>
              <w:left w:val="nil"/>
              <w:bottom w:val="nil"/>
              <w:right w:val="nil"/>
              <w:tl2br w:val="nil"/>
              <w:tr2bl w:val="nil"/>
            </w:tcBorders>
          </w:tcPr>
          <w:p w14:paraId="510E148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0.010*</w:t>
            </w:r>
          </w:p>
        </w:tc>
        <w:tc>
          <w:tcPr>
            <w:tcW w:w="1020" w:type="dxa"/>
            <w:tcBorders>
              <w:top w:val="single" w:color="auto" w:sz="4" w:space="0"/>
              <w:left w:val="nil"/>
              <w:bottom w:val="nil"/>
              <w:right w:val="nil"/>
              <w:tl2br w:val="nil"/>
              <w:tr2bl w:val="nil"/>
            </w:tcBorders>
          </w:tcPr>
          <w:p w14:paraId="24360AF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0.010*</w:t>
            </w:r>
          </w:p>
        </w:tc>
      </w:tr>
      <w:tr w14:paraId="791FB067">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24217A54">
            <w:pPr>
              <w:jc w:val="center"/>
              <w:rPr>
                <w:rFonts w:ascii="Times New Roman" w:hAnsi="Times New Roman" w:eastAsia="楷体" w:cs="Times New Roman"/>
                <w:color w:val="000000" w:themeColor="text1"/>
                <w:sz w:val="18"/>
                <w:szCs w:val="18"/>
                <w14:textFill>
                  <w14:solidFill>
                    <w14:schemeClr w14:val="tx1"/>
                  </w14:solidFill>
                </w14:textFill>
              </w:rPr>
            </w:pPr>
          </w:p>
        </w:tc>
        <w:tc>
          <w:tcPr>
            <w:tcW w:w="1020" w:type="dxa"/>
            <w:tcBorders>
              <w:top w:val="nil"/>
              <w:left w:val="nil"/>
              <w:bottom w:val="nil"/>
              <w:right w:val="nil"/>
              <w:tl2br w:val="nil"/>
              <w:tr2bl w:val="nil"/>
            </w:tcBorders>
          </w:tcPr>
          <w:p w14:paraId="335EB19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(0.190)</w:t>
            </w:r>
          </w:p>
        </w:tc>
        <w:tc>
          <w:tcPr>
            <w:tcW w:w="1020" w:type="dxa"/>
            <w:tcBorders>
              <w:top w:val="nil"/>
              <w:left w:val="nil"/>
              <w:bottom w:val="nil"/>
              <w:right w:val="nil"/>
              <w:tl2br w:val="nil"/>
              <w:tr2bl w:val="nil"/>
            </w:tcBorders>
          </w:tcPr>
          <w:p w14:paraId="52CF0BB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(0.190)</w:t>
            </w:r>
          </w:p>
        </w:tc>
        <w:tc>
          <w:tcPr>
            <w:tcW w:w="1020" w:type="dxa"/>
            <w:tcBorders>
              <w:top w:val="nil"/>
              <w:left w:val="nil"/>
              <w:bottom w:val="nil"/>
              <w:right w:val="nil"/>
              <w:tl2br w:val="nil"/>
              <w:tr2bl w:val="nil"/>
            </w:tcBorders>
          </w:tcPr>
          <w:p w14:paraId="6C00ADD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(0.190)</w:t>
            </w:r>
          </w:p>
        </w:tc>
        <w:tc>
          <w:tcPr>
            <w:tcW w:w="1020" w:type="dxa"/>
            <w:tcBorders>
              <w:top w:val="nil"/>
              <w:left w:val="nil"/>
              <w:bottom w:val="nil"/>
              <w:right w:val="nil"/>
              <w:tl2br w:val="nil"/>
              <w:tr2bl w:val="nil"/>
            </w:tcBorders>
          </w:tcPr>
          <w:p w14:paraId="7118F1F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(0.006)</w:t>
            </w:r>
          </w:p>
        </w:tc>
        <w:tc>
          <w:tcPr>
            <w:tcW w:w="1020" w:type="dxa"/>
            <w:tcBorders>
              <w:top w:val="nil"/>
              <w:left w:val="nil"/>
              <w:bottom w:val="nil"/>
              <w:right w:val="nil"/>
              <w:tl2br w:val="nil"/>
              <w:tr2bl w:val="nil"/>
            </w:tcBorders>
          </w:tcPr>
          <w:p w14:paraId="6507255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(0.006)</w:t>
            </w:r>
          </w:p>
        </w:tc>
        <w:tc>
          <w:tcPr>
            <w:tcW w:w="1020" w:type="dxa"/>
            <w:tcBorders>
              <w:top w:val="nil"/>
              <w:left w:val="nil"/>
              <w:bottom w:val="nil"/>
              <w:right w:val="nil"/>
              <w:tl2br w:val="nil"/>
              <w:tr2bl w:val="nil"/>
            </w:tcBorders>
          </w:tcPr>
          <w:p w14:paraId="5E302C4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(0.006)</w:t>
            </w:r>
          </w:p>
        </w:tc>
      </w:tr>
      <w:tr w14:paraId="1D21E1AD">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4FBF4EFC">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国家级</w:t>
            </w:r>
            <w:r>
              <w:rPr>
                <w:rFonts w:ascii="Times New Roman" w:hAnsi="Times New Roman" w:eastAsia="楷体" w:cs="Times New Roman"/>
                <w:color w:val="000000" w:themeColor="text1"/>
                <w:sz w:val="18"/>
                <w:szCs w:val="18"/>
                <w14:textFill>
                  <w14:solidFill>
                    <w14:schemeClr w14:val="tx1"/>
                  </w14:solidFill>
                </w14:textFill>
              </w:rPr>
              <w:t>高新区</w:t>
            </w:r>
            <w:r>
              <w:rPr>
                <w:rFonts w:hint="eastAsia" w:ascii="Times New Roman" w:hAnsi="Times New Roman" w:eastAsia="楷体" w:cs="Times New Roman"/>
                <w:color w:val="000000" w:themeColor="text1"/>
                <w:sz w:val="18"/>
                <w:szCs w:val="18"/>
                <w14:textFill>
                  <w14:solidFill>
                    <w14:schemeClr w14:val="tx1"/>
                  </w14:solidFill>
                </w14:textFill>
              </w:rPr>
              <w:t>设立*国企</w:t>
            </w:r>
          </w:p>
        </w:tc>
        <w:tc>
          <w:tcPr>
            <w:tcW w:w="1020" w:type="dxa"/>
            <w:tcBorders>
              <w:top w:val="nil"/>
              <w:left w:val="nil"/>
              <w:bottom w:val="nil"/>
              <w:right w:val="nil"/>
              <w:tl2br w:val="nil"/>
              <w:tr2bl w:val="nil"/>
            </w:tcBorders>
          </w:tcPr>
          <w:p w14:paraId="7946053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-0.643</w:t>
            </w:r>
          </w:p>
        </w:tc>
        <w:tc>
          <w:tcPr>
            <w:tcW w:w="1020" w:type="dxa"/>
            <w:tcBorders>
              <w:top w:val="nil"/>
              <w:left w:val="nil"/>
              <w:bottom w:val="nil"/>
              <w:right w:val="nil"/>
              <w:tl2br w:val="nil"/>
              <w:tr2bl w:val="nil"/>
            </w:tcBorders>
          </w:tcPr>
          <w:p w14:paraId="0E430FD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-0.643</w:t>
            </w:r>
          </w:p>
        </w:tc>
        <w:tc>
          <w:tcPr>
            <w:tcW w:w="1020" w:type="dxa"/>
            <w:tcBorders>
              <w:top w:val="nil"/>
              <w:left w:val="nil"/>
              <w:bottom w:val="nil"/>
              <w:right w:val="nil"/>
              <w:tl2br w:val="nil"/>
              <w:tr2bl w:val="nil"/>
            </w:tcBorders>
          </w:tcPr>
          <w:p w14:paraId="3DC42E9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-0.642</w:t>
            </w:r>
          </w:p>
        </w:tc>
        <w:tc>
          <w:tcPr>
            <w:tcW w:w="1020" w:type="dxa"/>
            <w:tcBorders>
              <w:top w:val="nil"/>
              <w:left w:val="nil"/>
              <w:bottom w:val="nil"/>
              <w:right w:val="nil"/>
              <w:tl2br w:val="nil"/>
              <w:tr2bl w:val="nil"/>
            </w:tcBorders>
          </w:tcPr>
          <w:p w14:paraId="2A3BE4C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0.017</w:t>
            </w:r>
          </w:p>
        </w:tc>
        <w:tc>
          <w:tcPr>
            <w:tcW w:w="1020" w:type="dxa"/>
            <w:tcBorders>
              <w:top w:val="nil"/>
              <w:left w:val="nil"/>
              <w:bottom w:val="nil"/>
              <w:right w:val="nil"/>
              <w:tl2br w:val="nil"/>
              <w:tr2bl w:val="nil"/>
            </w:tcBorders>
          </w:tcPr>
          <w:p w14:paraId="56C5115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0.016</w:t>
            </w:r>
          </w:p>
        </w:tc>
        <w:tc>
          <w:tcPr>
            <w:tcW w:w="1020" w:type="dxa"/>
            <w:tcBorders>
              <w:top w:val="nil"/>
              <w:left w:val="nil"/>
              <w:bottom w:val="nil"/>
              <w:right w:val="nil"/>
              <w:tl2br w:val="nil"/>
              <w:tr2bl w:val="nil"/>
            </w:tcBorders>
          </w:tcPr>
          <w:p w14:paraId="61372F6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0.016</w:t>
            </w:r>
          </w:p>
        </w:tc>
      </w:tr>
      <w:tr w14:paraId="1DC3ECB0">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37DB753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1020" w:type="dxa"/>
            <w:tcBorders>
              <w:top w:val="nil"/>
              <w:left w:val="nil"/>
              <w:bottom w:val="nil"/>
              <w:right w:val="nil"/>
              <w:tl2br w:val="nil"/>
              <w:tr2bl w:val="nil"/>
            </w:tcBorders>
          </w:tcPr>
          <w:p w14:paraId="792D019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(0.500)</w:t>
            </w:r>
          </w:p>
        </w:tc>
        <w:tc>
          <w:tcPr>
            <w:tcW w:w="1020" w:type="dxa"/>
            <w:tcBorders>
              <w:top w:val="nil"/>
              <w:left w:val="nil"/>
              <w:bottom w:val="nil"/>
              <w:right w:val="nil"/>
              <w:tl2br w:val="nil"/>
              <w:tr2bl w:val="nil"/>
            </w:tcBorders>
          </w:tcPr>
          <w:p w14:paraId="4EA20D2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(0.500)</w:t>
            </w:r>
          </w:p>
        </w:tc>
        <w:tc>
          <w:tcPr>
            <w:tcW w:w="1020" w:type="dxa"/>
            <w:tcBorders>
              <w:top w:val="nil"/>
              <w:left w:val="nil"/>
              <w:bottom w:val="nil"/>
              <w:right w:val="nil"/>
              <w:tl2br w:val="nil"/>
              <w:tr2bl w:val="nil"/>
            </w:tcBorders>
          </w:tcPr>
          <w:p w14:paraId="39DFD6E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(0.500)</w:t>
            </w:r>
          </w:p>
        </w:tc>
        <w:tc>
          <w:tcPr>
            <w:tcW w:w="1020" w:type="dxa"/>
            <w:tcBorders>
              <w:top w:val="nil"/>
              <w:left w:val="nil"/>
              <w:bottom w:val="nil"/>
              <w:right w:val="nil"/>
              <w:tl2br w:val="nil"/>
              <w:tr2bl w:val="nil"/>
            </w:tcBorders>
          </w:tcPr>
          <w:p w14:paraId="5B44432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(0.014)</w:t>
            </w:r>
          </w:p>
        </w:tc>
        <w:tc>
          <w:tcPr>
            <w:tcW w:w="1020" w:type="dxa"/>
            <w:tcBorders>
              <w:top w:val="nil"/>
              <w:left w:val="nil"/>
              <w:bottom w:val="nil"/>
              <w:right w:val="nil"/>
              <w:tl2br w:val="nil"/>
              <w:tr2bl w:val="nil"/>
            </w:tcBorders>
          </w:tcPr>
          <w:p w14:paraId="64D1ADF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(0.014)</w:t>
            </w:r>
          </w:p>
        </w:tc>
        <w:tc>
          <w:tcPr>
            <w:tcW w:w="1020" w:type="dxa"/>
            <w:tcBorders>
              <w:top w:val="nil"/>
              <w:left w:val="nil"/>
              <w:bottom w:val="nil"/>
              <w:right w:val="nil"/>
              <w:tl2br w:val="nil"/>
              <w:tr2bl w:val="nil"/>
            </w:tcBorders>
          </w:tcPr>
          <w:p w14:paraId="5B0D069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(0.014)</w:t>
            </w:r>
          </w:p>
        </w:tc>
      </w:tr>
      <w:tr w14:paraId="116A0108">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005BD723">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省级高新区设立</w:t>
            </w:r>
          </w:p>
        </w:tc>
        <w:tc>
          <w:tcPr>
            <w:tcW w:w="1020" w:type="dxa"/>
            <w:tcBorders>
              <w:top w:val="nil"/>
              <w:left w:val="nil"/>
              <w:bottom w:val="nil"/>
              <w:right w:val="nil"/>
              <w:tl2br w:val="nil"/>
              <w:tr2bl w:val="nil"/>
            </w:tcBorders>
          </w:tcPr>
          <w:p w14:paraId="5E58F9D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1.09</w:t>
            </w:r>
            <w:r>
              <w:rPr>
                <w:rFonts w:hint="eastAsia" w:ascii="Times New Roman" w:hAnsi="Times New Roman" w:cs="Times New Roman"/>
                <w:color w:val="000000" w:themeColor="text1"/>
                <w:sz w:val="18"/>
                <w:szCs w:val="18"/>
                <w:lang w:val="en-US" w:eastAsia="zh-CN"/>
                <w14:textFill>
                  <w14:solidFill>
                    <w14:schemeClr w14:val="tx1"/>
                  </w14:solidFill>
                </w14:textFill>
              </w:rPr>
              <w:t>1</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167643D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1.091*</w:t>
            </w:r>
          </w:p>
        </w:tc>
        <w:tc>
          <w:tcPr>
            <w:tcW w:w="1020" w:type="dxa"/>
            <w:tcBorders>
              <w:top w:val="nil"/>
              <w:left w:val="nil"/>
              <w:bottom w:val="nil"/>
              <w:right w:val="nil"/>
              <w:tl2br w:val="nil"/>
              <w:tr2bl w:val="nil"/>
            </w:tcBorders>
          </w:tcPr>
          <w:p w14:paraId="52156BF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1.087*</w:t>
            </w:r>
          </w:p>
        </w:tc>
        <w:tc>
          <w:tcPr>
            <w:tcW w:w="1020" w:type="dxa"/>
            <w:tcBorders>
              <w:top w:val="nil"/>
              <w:left w:val="nil"/>
              <w:bottom w:val="nil"/>
              <w:right w:val="nil"/>
              <w:tl2br w:val="nil"/>
              <w:tr2bl w:val="nil"/>
            </w:tcBorders>
          </w:tcPr>
          <w:p w14:paraId="1ADAD86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-0.08</w:t>
            </w:r>
            <w:r>
              <w:rPr>
                <w:rFonts w:hint="eastAsia" w:ascii="Times New Roman" w:hAnsi="Times New Roman" w:cs="Times New Roman"/>
                <w:color w:val="000000" w:themeColor="text1"/>
                <w:sz w:val="18"/>
                <w:szCs w:val="18"/>
                <w:lang w:val="en-US" w:eastAsia="zh-CN"/>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58AD288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-0.08</w:t>
            </w:r>
            <w:r>
              <w:rPr>
                <w:rFonts w:hint="eastAsia" w:ascii="Times New Roman" w:hAnsi="Times New Roman" w:cs="Times New Roman"/>
                <w:color w:val="000000" w:themeColor="text1"/>
                <w:sz w:val="18"/>
                <w:szCs w:val="18"/>
                <w:lang w:val="en-US" w:eastAsia="zh-CN"/>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05F7E07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-0.08</w:t>
            </w:r>
            <w:r>
              <w:rPr>
                <w:rFonts w:hint="eastAsia" w:ascii="Times New Roman" w:hAnsi="Times New Roman" w:cs="Times New Roman"/>
                <w:color w:val="000000" w:themeColor="text1"/>
                <w:sz w:val="18"/>
                <w:szCs w:val="18"/>
                <w:lang w:val="en-US" w:eastAsia="zh-CN"/>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w:t>
            </w:r>
          </w:p>
        </w:tc>
      </w:tr>
      <w:tr w14:paraId="26854F5F">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2AB6494E">
            <w:pPr>
              <w:jc w:val="center"/>
              <w:rPr>
                <w:rFonts w:ascii="Times New Roman" w:hAnsi="Times New Roman" w:eastAsia="楷体" w:cs="Times New Roman"/>
                <w:color w:val="000000" w:themeColor="text1"/>
                <w:sz w:val="18"/>
                <w:szCs w:val="18"/>
                <w14:textFill>
                  <w14:solidFill>
                    <w14:schemeClr w14:val="tx1"/>
                  </w14:solidFill>
                </w14:textFill>
              </w:rPr>
            </w:pPr>
          </w:p>
        </w:tc>
        <w:tc>
          <w:tcPr>
            <w:tcW w:w="1020" w:type="dxa"/>
            <w:tcBorders>
              <w:top w:val="nil"/>
              <w:left w:val="nil"/>
              <w:bottom w:val="nil"/>
              <w:right w:val="nil"/>
              <w:tl2br w:val="nil"/>
              <w:tr2bl w:val="nil"/>
            </w:tcBorders>
          </w:tcPr>
          <w:p w14:paraId="2E26EE0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(0.567)</w:t>
            </w:r>
          </w:p>
        </w:tc>
        <w:tc>
          <w:tcPr>
            <w:tcW w:w="1020" w:type="dxa"/>
            <w:tcBorders>
              <w:top w:val="nil"/>
              <w:left w:val="nil"/>
              <w:bottom w:val="nil"/>
              <w:right w:val="nil"/>
              <w:tl2br w:val="nil"/>
              <w:tr2bl w:val="nil"/>
            </w:tcBorders>
          </w:tcPr>
          <w:p w14:paraId="26877C2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(0.567)</w:t>
            </w:r>
          </w:p>
        </w:tc>
        <w:tc>
          <w:tcPr>
            <w:tcW w:w="1020" w:type="dxa"/>
            <w:tcBorders>
              <w:top w:val="nil"/>
              <w:left w:val="nil"/>
              <w:bottom w:val="nil"/>
              <w:right w:val="nil"/>
              <w:tl2br w:val="nil"/>
              <w:tr2bl w:val="nil"/>
            </w:tcBorders>
          </w:tcPr>
          <w:p w14:paraId="36B3DC8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(0.567)</w:t>
            </w:r>
          </w:p>
        </w:tc>
        <w:tc>
          <w:tcPr>
            <w:tcW w:w="1020" w:type="dxa"/>
            <w:tcBorders>
              <w:top w:val="nil"/>
              <w:left w:val="nil"/>
              <w:bottom w:val="nil"/>
              <w:right w:val="nil"/>
              <w:tl2br w:val="nil"/>
              <w:tr2bl w:val="nil"/>
            </w:tcBorders>
          </w:tcPr>
          <w:p w14:paraId="2D2035D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7</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47BEF45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7</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03B0890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7</w:t>
            </w:r>
            <w:r>
              <w:rPr>
                <w:rFonts w:ascii="Times New Roman" w:hAnsi="Times New Roman" w:cs="Times New Roman"/>
                <w:color w:val="000000" w:themeColor="text1"/>
                <w:sz w:val="18"/>
                <w:szCs w:val="18"/>
                <w14:textFill>
                  <w14:solidFill>
                    <w14:schemeClr w14:val="tx1"/>
                  </w14:solidFill>
                </w14:textFill>
              </w:rPr>
              <w:t>)</w:t>
            </w:r>
          </w:p>
        </w:tc>
      </w:tr>
      <w:tr w14:paraId="0629ED54">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6342BF15">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省级高新区设立*国企</w:t>
            </w:r>
          </w:p>
        </w:tc>
        <w:tc>
          <w:tcPr>
            <w:tcW w:w="1020" w:type="dxa"/>
            <w:tcBorders>
              <w:top w:val="nil"/>
              <w:left w:val="nil"/>
              <w:bottom w:val="nil"/>
              <w:right w:val="nil"/>
              <w:tl2br w:val="nil"/>
              <w:tr2bl w:val="nil"/>
            </w:tcBorders>
          </w:tcPr>
          <w:p w14:paraId="12A9851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0.000</w:t>
            </w:r>
          </w:p>
        </w:tc>
        <w:tc>
          <w:tcPr>
            <w:tcW w:w="1020" w:type="dxa"/>
            <w:tcBorders>
              <w:top w:val="nil"/>
              <w:left w:val="nil"/>
              <w:bottom w:val="nil"/>
              <w:right w:val="nil"/>
              <w:tl2br w:val="nil"/>
              <w:tr2bl w:val="nil"/>
            </w:tcBorders>
          </w:tcPr>
          <w:p w14:paraId="0C636B8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0.000</w:t>
            </w:r>
          </w:p>
        </w:tc>
        <w:tc>
          <w:tcPr>
            <w:tcW w:w="1020" w:type="dxa"/>
            <w:tcBorders>
              <w:top w:val="nil"/>
              <w:left w:val="nil"/>
              <w:bottom w:val="nil"/>
              <w:right w:val="nil"/>
              <w:tl2br w:val="nil"/>
              <w:tr2bl w:val="nil"/>
            </w:tcBorders>
          </w:tcPr>
          <w:p w14:paraId="5D208E9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0.005</w:t>
            </w:r>
          </w:p>
        </w:tc>
        <w:tc>
          <w:tcPr>
            <w:tcW w:w="1020" w:type="dxa"/>
            <w:tcBorders>
              <w:top w:val="nil"/>
              <w:left w:val="nil"/>
              <w:bottom w:val="nil"/>
              <w:right w:val="nil"/>
              <w:tl2br w:val="nil"/>
              <w:tr2bl w:val="nil"/>
            </w:tcBorders>
          </w:tcPr>
          <w:p w14:paraId="450AA59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w:t>
            </w:r>
            <w:r>
              <w:rPr>
                <w:rFonts w:hint="eastAsia" w:ascii="Times New Roman" w:hAnsi="Times New Roman" w:cs="Times New Roman"/>
                <w:color w:val="000000" w:themeColor="text1"/>
                <w:sz w:val="18"/>
                <w:szCs w:val="18"/>
                <w:lang w:val="en-US" w:eastAsia="zh-CN"/>
                <w14:textFill>
                  <w14:solidFill>
                    <w14:schemeClr w14:val="tx1"/>
                  </w14:solidFill>
                </w14:textFill>
              </w:rPr>
              <w:t>69</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4480A72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0.07</w:t>
            </w:r>
            <w:r>
              <w:rPr>
                <w:rFonts w:hint="eastAsia" w:ascii="Times New Roman" w:hAnsi="Times New Roman" w:cs="Times New Roman"/>
                <w:color w:val="000000" w:themeColor="text1"/>
                <w:sz w:val="18"/>
                <w:szCs w:val="18"/>
                <w:lang w:val="en-US" w:eastAsia="zh-CN"/>
                <w14:textFill>
                  <w14:solidFill>
                    <w14:schemeClr w14:val="tx1"/>
                  </w14:solidFill>
                </w14:textFill>
              </w:rPr>
              <w:t>0</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1698FCE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0.07</w:t>
            </w:r>
            <w:r>
              <w:rPr>
                <w:rFonts w:hint="eastAsia" w:ascii="Times New Roman" w:hAnsi="Times New Roman" w:cs="Times New Roman"/>
                <w:color w:val="000000" w:themeColor="text1"/>
                <w:sz w:val="18"/>
                <w:szCs w:val="18"/>
                <w:lang w:val="en-US" w:eastAsia="zh-CN"/>
                <w14:textFill>
                  <w14:solidFill>
                    <w14:schemeClr w14:val="tx1"/>
                  </w14:solidFill>
                </w14:textFill>
              </w:rPr>
              <w:t>0</w:t>
            </w:r>
            <w:r>
              <w:rPr>
                <w:rFonts w:ascii="Times New Roman" w:hAnsi="Times New Roman" w:cs="Times New Roman"/>
                <w:color w:val="000000" w:themeColor="text1"/>
                <w:sz w:val="18"/>
                <w:szCs w:val="18"/>
                <w14:textFill>
                  <w14:solidFill>
                    <w14:schemeClr w14:val="tx1"/>
                  </w14:solidFill>
                </w14:textFill>
              </w:rPr>
              <w:t>**</w:t>
            </w:r>
          </w:p>
        </w:tc>
      </w:tr>
      <w:tr w14:paraId="423E28B3">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vAlign w:val="center"/>
          </w:tcPr>
          <w:p w14:paraId="11825BBA">
            <w:pPr>
              <w:jc w:val="center"/>
              <w:rPr>
                <w:rFonts w:ascii="Times New Roman" w:hAnsi="Times New Roman" w:eastAsia="楷体" w:cs="Times New Roman"/>
                <w:color w:val="000000" w:themeColor="text1"/>
                <w:sz w:val="18"/>
                <w:szCs w:val="18"/>
                <w14:textFill>
                  <w14:solidFill>
                    <w14:schemeClr w14:val="tx1"/>
                  </w14:solidFill>
                </w14:textFill>
              </w:rPr>
            </w:pPr>
          </w:p>
        </w:tc>
        <w:tc>
          <w:tcPr>
            <w:tcW w:w="1020" w:type="dxa"/>
            <w:tcBorders>
              <w:top w:val="nil"/>
              <w:left w:val="nil"/>
              <w:bottom w:val="nil"/>
              <w:right w:val="nil"/>
              <w:tl2br w:val="nil"/>
              <w:tr2bl w:val="nil"/>
            </w:tcBorders>
          </w:tcPr>
          <w:p w14:paraId="5105A87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(0.598)</w:t>
            </w:r>
          </w:p>
        </w:tc>
        <w:tc>
          <w:tcPr>
            <w:tcW w:w="1020" w:type="dxa"/>
            <w:tcBorders>
              <w:top w:val="nil"/>
              <w:left w:val="nil"/>
              <w:bottom w:val="nil"/>
              <w:right w:val="nil"/>
              <w:tl2br w:val="nil"/>
              <w:tr2bl w:val="nil"/>
            </w:tcBorders>
          </w:tcPr>
          <w:p w14:paraId="611DACE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(0.598)</w:t>
            </w:r>
          </w:p>
        </w:tc>
        <w:tc>
          <w:tcPr>
            <w:tcW w:w="1020" w:type="dxa"/>
            <w:tcBorders>
              <w:top w:val="nil"/>
              <w:left w:val="nil"/>
              <w:bottom w:val="nil"/>
              <w:right w:val="nil"/>
              <w:tl2br w:val="nil"/>
              <w:tr2bl w:val="nil"/>
            </w:tcBorders>
          </w:tcPr>
          <w:p w14:paraId="4A7F36E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(0.598)</w:t>
            </w:r>
          </w:p>
        </w:tc>
        <w:tc>
          <w:tcPr>
            <w:tcW w:w="1020" w:type="dxa"/>
            <w:tcBorders>
              <w:top w:val="nil"/>
              <w:left w:val="nil"/>
              <w:bottom w:val="nil"/>
              <w:right w:val="nil"/>
              <w:tl2br w:val="nil"/>
              <w:tr2bl w:val="nil"/>
            </w:tcBorders>
          </w:tcPr>
          <w:p w14:paraId="0D69B74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8</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2BA8C83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8</w:t>
            </w:r>
            <w:r>
              <w:rPr>
                <w:rFonts w:ascii="Times New Roman" w:hAnsi="Times New Roman" w:cs="Times New Roman"/>
                <w:color w:val="000000" w:themeColor="text1"/>
                <w:sz w:val="18"/>
                <w:szCs w:val="18"/>
                <w14:textFill>
                  <w14:solidFill>
                    <w14:schemeClr w14:val="tx1"/>
                  </w14:solidFill>
                </w14:textFill>
              </w:rPr>
              <w:t>)</w:t>
            </w:r>
          </w:p>
        </w:tc>
        <w:tc>
          <w:tcPr>
            <w:tcW w:w="1020" w:type="dxa"/>
            <w:tcBorders>
              <w:top w:val="nil"/>
              <w:left w:val="nil"/>
              <w:bottom w:val="nil"/>
              <w:right w:val="nil"/>
              <w:tl2br w:val="nil"/>
              <w:tr2bl w:val="nil"/>
            </w:tcBorders>
          </w:tcPr>
          <w:p w14:paraId="0516441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(0.02</w:t>
            </w:r>
            <w:r>
              <w:rPr>
                <w:rFonts w:hint="eastAsia" w:ascii="Times New Roman" w:hAnsi="Times New Roman" w:cs="Times New Roman"/>
                <w:color w:val="000000" w:themeColor="text1"/>
                <w:sz w:val="18"/>
                <w:szCs w:val="18"/>
                <w:lang w:val="en-US" w:eastAsia="zh-CN"/>
                <w14:textFill>
                  <w14:solidFill>
                    <w14:schemeClr w14:val="tx1"/>
                  </w14:solidFill>
                </w14:textFill>
              </w:rPr>
              <w:t>8</w:t>
            </w:r>
            <w:r>
              <w:rPr>
                <w:rFonts w:ascii="Times New Roman" w:hAnsi="Times New Roman" w:cs="Times New Roman"/>
                <w:color w:val="000000" w:themeColor="text1"/>
                <w:sz w:val="18"/>
                <w:szCs w:val="18"/>
                <w14:textFill>
                  <w14:solidFill>
                    <w14:schemeClr w14:val="tx1"/>
                  </w14:solidFill>
                </w14:textFill>
              </w:rPr>
              <w:t>)</w:t>
            </w:r>
          </w:p>
        </w:tc>
      </w:tr>
      <w:tr w14:paraId="2B935130">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tcPr>
          <w:p w14:paraId="65AC43C6">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控制变量</w:t>
            </w:r>
          </w:p>
        </w:tc>
        <w:tc>
          <w:tcPr>
            <w:tcW w:w="1020" w:type="dxa"/>
            <w:tcBorders>
              <w:top w:val="nil"/>
              <w:left w:val="nil"/>
              <w:bottom w:val="nil"/>
              <w:right w:val="nil"/>
              <w:tl2br w:val="nil"/>
              <w:tr2bl w:val="nil"/>
            </w:tcBorders>
            <w:vAlign w:val="center"/>
          </w:tcPr>
          <w:p w14:paraId="1CB1009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4D70456C">
            <w:pPr>
              <w:jc w:val="center"/>
              <w:rPr>
                <w:color w:val="000000" w:themeColor="text1"/>
                <w:sz w:val="24"/>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67240C49">
            <w:pPr>
              <w:jc w:val="center"/>
              <w:rPr>
                <w:color w:val="000000" w:themeColor="text1"/>
                <w:sz w:val="24"/>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6CF8345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08FDF0E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10FF0B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75786573">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tcPr>
          <w:p w14:paraId="4D9E5FB3">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个体效应</w:t>
            </w:r>
          </w:p>
        </w:tc>
        <w:tc>
          <w:tcPr>
            <w:tcW w:w="1020" w:type="dxa"/>
            <w:tcBorders>
              <w:top w:val="nil"/>
              <w:left w:val="nil"/>
              <w:bottom w:val="nil"/>
              <w:right w:val="nil"/>
              <w:tl2br w:val="nil"/>
              <w:tr2bl w:val="nil"/>
            </w:tcBorders>
            <w:vAlign w:val="center"/>
          </w:tcPr>
          <w:p w14:paraId="4FCA37E2">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BCEBB7C">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64FB4A7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76520A3">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DA1B96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60534484">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1E9E3CDE">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tcPr>
          <w:p w14:paraId="26D8E364">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年份</w:t>
            </w: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eastAsia="楷体" w:cs="Times New Roman"/>
                <w:color w:val="000000" w:themeColor="text1"/>
                <w:sz w:val="18"/>
                <w:szCs w:val="18"/>
                <w14:textFill>
                  <w14:solidFill>
                    <w14:schemeClr w14:val="tx1"/>
                  </w14:solidFill>
                </w14:textFill>
              </w:rPr>
              <w:t>城市</w:t>
            </w:r>
            <w:r>
              <w:rPr>
                <w:rFonts w:ascii="Times New Roman" w:hAnsi="Times New Roman" w:eastAsia="楷体" w:cs="Times New Roman"/>
                <w:color w:val="000000" w:themeColor="text1"/>
                <w:sz w:val="18"/>
                <w:szCs w:val="18"/>
                <w14:textFill>
                  <w14:solidFill>
                    <w14:schemeClr w14:val="tx1"/>
                  </w14:solidFill>
                </w14:textFill>
              </w:rPr>
              <w:t>效应</w:t>
            </w:r>
          </w:p>
        </w:tc>
        <w:tc>
          <w:tcPr>
            <w:tcW w:w="1020" w:type="dxa"/>
            <w:tcBorders>
              <w:top w:val="nil"/>
              <w:left w:val="nil"/>
              <w:bottom w:val="nil"/>
              <w:right w:val="nil"/>
              <w:tl2br w:val="nil"/>
              <w:tr2bl w:val="nil"/>
            </w:tcBorders>
            <w:vAlign w:val="center"/>
          </w:tcPr>
          <w:p w14:paraId="69983B7B">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02EDAD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708D4470">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7687659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435110B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17FB4BF9">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1BEC7A69">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tcPr>
          <w:p w14:paraId="3791C6F9">
            <w:pPr>
              <w:jc w:val="center"/>
              <w:rPr>
                <w:rFonts w:ascii="Times New Roman" w:hAnsi="Times New Roman" w:eastAsia="楷体" w:cs="Times New Roman"/>
                <w:color w:val="000000" w:themeColor="text1"/>
                <w:sz w:val="18"/>
                <w:szCs w:val="18"/>
                <w14:textFill>
                  <w14:solidFill>
                    <w14:schemeClr w14:val="tx1"/>
                  </w14:solidFill>
                </w14:textFill>
              </w:rPr>
            </w:pPr>
            <w:r>
              <w:rPr>
                <w:rFonts w:hint="eastAsia" w:ascii="Times New Roman" w:hAnsi="Times New Roman" w:eastAsia="楷体" w:cs="Times New Roman"/>
                <w:color w:val="000000" w:themeColor="text1"/>
                <w:sz w:val="18"/>
                <w:szCs w:val="18"/>
                <w14:textFill>
                  <w14:solidFill>
                    <w14:schemeClr w14:val="tx1"/>
                  </w14:solidFill>
                </w14:textFill>
              </w:rPr>
              <w:t>行业效应</w:t>
            </w:r>
          </w:p>
        </w:tc>
        <w:tc>
          <w:tcPr>
            <w:tcW w:w="1020" w:type="dxa"/>
            <w:tcBorders>
              <w:top w:val="nil"/>
              <w:left w:val="nil"/>
              <w:bottom w:val="nil"/>
              <w:right w:val="nil"/>
              <w:tl2br w:val="nil"/>
              <w:tr2bl w:val="nil"/>
            </w:tcBorders>
            <w:vAlign w:val="center"/>
          </w:tcPr>
          <w:p w14:paraId="6E8B0C6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6766E1D8">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70F2F80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342124B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768A5F1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c>
          <w:tcPr>
            <w:tcW w:w="1020" w:type="dxa"/>
            <w:tcBorders>
              <w:top w:val="nil"/>
              <w:left w:val="nil"/>
              <w:bottom w:val="nil"/>
              <w:right w:val="nil"/>
              <w:tl2br w:val="nil"/>
              <w:tr2bl w:val="nil"/>
            </w:tcBorders>
            <w:vAlign w:val="center"/>
          </w:tcPr>
          <w:p w14:paraId="356FC52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Y</w:t>
            </w:r>
          </w:p>
        </w:tc>
      </w:tr>
      <w:tr w14:paraId="0B5E3876">
        <w:tblPrEx>
          <w:tblCellMar>
            <w:top w:w="0" w:type="dxa"/>
            <w:left w:w="51" w:type="dxa"/>
            <w:bottom w:w="0" w:type="dxa"/>
            <w:right w:w="51" w:type="dxa"/>
          </w:tblCellMar>
        </w:tblPrEx>
        <w:trPr>
          <w:jc w:val="center"/>
        </w:trPr>
        <w:tc>
          <w:tcPr>
            <w:tcW w:w="2211" w:type="dxa"/>
            <w:tcBorders>
              <w:top w:val="nil"/>
              <w:left w:val="nil"/>
              <w:bottom w:val="nil"/>
              <w:right w:val="nil"/>
              <w:tl2br w:val="nil"/>
              <w:tr2bl w:val="nil"/>
            </w:tcBorders>
          </w:tcPr>
          <w:p w14:paraId="5A20DBEB">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观测值</w:t>
            </w:r>
          </w:p>
        </w:tc>
        <w:tc>
          <w:tcPr>
            <w:tcW w:w="1020" w:type="dxa"/>
            <w:tcBorders>
              <w:top w:val="nil"/>
              <w:left w:val="nil"/>
              <w:bottom w:val="nil"/>
              <w:right w:val="nil"/>
              <w:tl2br w:val="nil"/>
              <w:tr2bl w:val="nil"/>
            </w:tcBorders>
          </w:tcPr>
          <w:p w14:paraId="39A1B50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1020" w:type="dxa"/>
            <w:tcBorders>
              <w:top w:val="nil"/>
              <w:left w:val="nil"/>
              <w:bottom w:val="nil"/>
              <w:right w:val="nil"/>
              <w:tl2br w:val="nil"/>
              <w:tr2bl w:val="nil"/>
            </w:tcBorders>
          </w:tcPr>
          <w:p w14:paraId="0BAB255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1020" w:type="dxa"/>
            <w:tcBorders>
              <w:top w:val="nil"/>
              <w:left w:val="nil"/>
              <w:bottom w:val="nil"/>
              <w:right w:val="nil"/>
              <w:tl2br w:val="nil"/>
              <w:tr2bl w:val="nil"/>
            </w:tcBorders>
          </w:tcPr>
          <w:p w14:paraId="3FC432E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1020" w:type="dxa"/>
            <w:tcBorders>
              <w:top w:val="nil"/>
              <w:left w:val="nil"/>
              <w:bottom w:val="nil"/>
              <w:right w:val="nil"/>
              <w:tl2br w:val="nil"/>
              <w:tr2bl w:val="nil"/>
            </w:tcBorders>
          </w:tcPr>
          <w:p w14:paraId="64E0A506">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1020" w:type="dxa"/>
            <w:tcBorders>
              <w:top w:val="nil"/>
              <w:left w:val="nil"/>
              <w:bottom w:val="nil"/>
              <w:right w:val="nil"/>
              <w:tl2br w:val="nil"/>
              <w:tr2bl w:val="nil"/>
            </w:tcBorders>
          </w:tcPr>
          <w:p w14:paraId="1927B55E">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c>
          <w:tcPr>
            <w:tcW w:w="1020" w:type="dxa"/>
            <w:tcBorders>
              <w:top w:val="nil"/>
              <w:left w:val="nil"/>
              <w:bottom w:val="nil"/>
              <w:right w:val="nil"/>
              <w:tl2br w:val="nil"/>
              <w:tr2bl w:val="nil"/>
            </w:tcBorders>
          </w:tcPr>
          <w:p w14:paraId="236596FD">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7,573</w:t>
            </w:r>
          </w:p>
        </w:tc>
      </w:tr>
      <w:tr w14:paraId="6A8FAF1D">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CellMar>
            <w:top w:w="0" w:type="dxa"/>
            <w:left w:w="51" w:type="dxa"/>
            <w:bottom w:w="0" w:type="dxa"/>
            <w:right w:w="51" w:type="dxa"/>
          </w:tblCellMar>
        </w:tblPrEx>
        <w:trPr>
          <w:jc w:val="center"/>
        </w:trPr>
        <w:tc>
          <w:tcPr>
            <w:tcW w:w="2211" w:type="dxa"/>
            <w:tcBorders>
              <w:top w:val="nil"/>
              <w:left w:val="nil"/>
              <w:bottom w:val="single" w:color="auto" w:sz="8" w:space="0"/>
              <w:right w:val="nil"/>
              <w:tl2br w:val="nil"/>
              <w:tr2bl w:val="nil"/>
            </w:tcBorders>
          </w:tcPr>
          <w:p w14:paraId="38A8C476">
            <w:pPr>
              <w:jc w:val="center"/>
              <w:rPr>
                <w:rFonts w:ascii="Times New Roman" w:hAnsi="Times New Roman" w:eastAsia="楷体" w:cs="Times New Roman"/>
                <w:color w:val="000000" w:themeColor="text1"/>
                <w:sz w:val="18"/>
                <w:szCs w:val="18"/>
                <w14:textFill>
                  <w14:solidFill>
                    <w14:schemeClr w14:val="tx1"/>
                  </w14:solidFill>
                </w14:textFill>
              </w:rPr>
            </w:pPr>
            <w:r>
              <w:rPr>
                <w:rFonts w:ascii="Times New Roman" w:hAnsi="Times New Roman" w:eastAsia="楷体" w:cs="Times New Roman"/>
                <w:color w:val="000000" w:themeColor="text1"/>
                <w:sz w:val="18"/>
                <w:szCs w:val="18"/>
                <w14:textFill>
                  <w14:solidFill>
                    <w14:schemeClr w14:val="tx1"/>
                  </w14:solidFill>
                </w14:textFill>
              </w:rPr>
              <w:t>R</w:t>
            </w:r>
            <w:r>
              <w:rPr>
                <w:rFonts w:ascii="Times New Roman" w:hAnsi="Times New Roman" w:eastAsia="楷体" w:cs="Times New Roman"/>
                <w:color w:val="000000" w:themeColor="text1"/>
                <w:sz w:val="18"/>
                <w:szCs w:val="18"/>
                <w:vertAlign w:val="superscript"/>
                <w14:textFill>
                  <w14:solidFill>
                    <w14:schemeClr w14:val="tx1"/>
                  </w14:solidFill>
                </w14:textFill>
              </w:rPr>
              <w:t>2</w:t>
            </w:r>
          </w:p>
        </w:tc>
        <w:tc>
          <w:tcPr>
            <w:tcW w:w="1020" w:type="dxa"/>
            <w:tcBorders>
              <w:top w:val="nil"/>
              <w:left w:val="nil"/>
              <w:bottom w:val="single" w:color="auto" w:sz="8" w:space="0"/>
              <w:right w:val="nil"/>
              <w:tl2br w:val="nil"/>
              <w:tr2bl w:val="nil"/>
            </w:tcBorders>
          </w:tcPr>
          <w:p w14:paraId="3D85A22F">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0.881</w:t>
            </w:r>
          </w:p>
        </w:tc>
        <w:tc>
          <w:tcPr>
            <w:tcW w:w="1020" w:type="dxa"/>
            <w:tcBorders>
              <w:top w:val="nil"/>
              <w:left w:val="nil"/>
              <w:bottom w:val="single" w:color="auto" w:sz="8" w:space="0"/>
              <w:right w:val="nil"/>
              <w:tl2br w:val="nil"/>
              <w:tr2bl w:val="nil"/>
            </w:tcBorders>
          </w:tcPr>
          <w:p w14:paraId="4AABAB3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0.881</w:t>
            </w:r>
          </w:p>
        </w:tc>
        <w:tc>
          <w:tcPr>
            <w:tcW w:w="1020" w:type="dxa"/>
            <w:tcBorders>
              <w:top w:val="nil"/>
              <w:left w:val="nil"/>
              <w:bottom w:val="single" w:color="auto" w:sz="8" w:space="0"/>
              <w:right w:val="nil"/>
              <w:tl2br w:val="nil"/>
              <w:tr2bl w:val="nil"/>
            </w:tcBorders>
          </w:tcPr>
          <w:p w14:paraId="36D3EAB1">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0.881</w:t>
            </w:r>
          </w:p>
        </w:tc>
        <w:tc>
          <w:tcPr>
            <w:tcW w:w="1020" w:type="dxa"/>
            <w:tcBorders>
              <w:top w:val="nil"/>
              <w:left w:val="nil"/>
              <w:bottom w:val="single" w:color="auto" w:sz="8" w:space="0"/>
              <w:right w:val="nil"/>
              <w:tl2br w:val="nil"/>
              <w:tr2bl w:val="nil"/>
            </w:tcBorders>
          </w:tcPr>
          <w:p w14:paraId="7ADF6B5A">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0.857</w:t>
            </w:r>
          </w:p>
        </w:tc>
        <w:tc>
          <w:tcPr>
            <w:tcW w:w="1020" w:type="dxa"/>
            <w:tcBorders>
              <w:top w:val="nil"/>
              <w:left w:val="nil"/>
              <w:bottom w:val="single" w:color="auto" w:sz="8" w:space="0"/>
              <w:right w:val="nil"/>
              <w:tl2br w:val="nil"/>
              <w:tr2bl w:val="nil"/>
            </w:tcBorders>
          </w:tcPr>
          <w:p w14:paraId="682660D7">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0.857</w:t>
            </w:r>
          </w:p>
        </w:tc>
        <w:tc>
          <w:tcPr>
            <w:tcW w:w="1020" w:type="dxa"/>
            <w:tcBorders>
              <w:top w:val="nil"/>
              <w:left w:val="nil"/>
              <w:bottom w:val="single" w:color="auto" w:sz="8" w:space="0"/>
              <w:right w:val="nil"/>
              <w:tl2br w:val="nil"/>
              <w:tr2bl w:val="nil"/>
            </w:tcBorders>
          </w:tcPr>
          <w:p w14:paraId="235E0FC5">
            <w:pPr>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0.857</w:t>
            </w:r>
          </w:p>
        </w:tc>
      </w:tr>
    </w:tbl>
    <w:p w14:paraId="3BC4208C">
      <w:pPr>
        <w:shd w:val="clear"/>
        <w:rPr>
          <w:rFonts w:hint="eastAsia" w:ascii="Times New Roman" w:hAnsi="Times New Roman" w:cs="Times New Roman"/>
          <w:color w:val="000000" w:themeColor="text1"/>
          <w14:textFill>
            <w14:solidFill>
              <w14:schemeClr w14:val="tx1"/>
            </w14:solidFill>
          </w14:textFill>
        </w:rPr>
      </w:pPr>
    </w:p>
    <w:p w14:paraId="30AB90D8">
      <w:pPr>
        <w:shd w:val="clear"/>
        <w:rPr>
          <w:rFonts w:hint="eastAsia" w:ascii="Times New Roman" w:hAnsi="Times New Roman" w:cs="Times New Roman"/>
          <w:color w:val="000000" w:themeColor="text1"/>
          <w14:textFill>
            <w14:solidFill>
              <w14:schemeClr w14:val="tx1"/>
            </w14:solidFill>
          </w14:textFill>
        </w:rPr>
      </w:pPr>
    </w:p>
    <w:p w14:paraId="273D7CE7">
      <w:pPr>
        <w:ind w:firstLine="420"/>
        <w:outlineLvl w:val="0"/>
        <w:rPr>
          <w:rFonts w:ascii="黑体" w:hAnsi="黑体" w:eastAsia="黑体" w:cs="黑体"/>
          <w:szCs w:val="22"/>
        </w:rPr>
      </w:pPr>
      <w:r>
        <w:rPr>
          <w:rFonts w:hint="eastAsia" w:ascii="黑体" w:hAnsi="黑体" w:eastAsia="黑体" w:cs="黑体"/>
          <w:szCs w:val="22"/>
        </w:rPr>
        <w:t>参考文献：</w:t>
      </w:r>
    </w:p>
    <w:p w14:paraId="7CED816E">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蔡庆丰、陈熠辉、林海涵，2021：《开发区层级与域内企业创新：激励效应还是挤出效应?——基于国家级和省级开发区的对比研究》，《金融研究》第5期。</w:t>
      </w:r>
    </w:p>
    <w:p w14:paraId="165C7DB0">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孙龙、雷良海、李娜，2023：《国家级高新区比经开区更能促进地区创新发展吗?——基于准自然实验的证据》，《管理评论》第5期。</w:t>
      </w:r>
    </w:p>
    <w:p w14:paraId="62E7B372">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余晨阳、何流，2019：《董监高网络如何改变企业的创新行为?——兼论董监高在企业创新行为中的侧重差异》，《经济学报》第1期。</w:t>
      </w:r>
    </w:p>
    <w:p w14:paraId="7E9B315D">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叶静怡、林佳、张鹏飞、曹思未，2019：《中国国有企业的独特作用:基于知识溢出的视角》，《经济研究》第6期。</w:t>
      </w:r>
    </w:p>
    <w:p w14:paraId="6DDC1904">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余淼杰、户德月、向为，2017：《国家级开发区对企业生产率的影响:来自中国企业层面的经验实证》，《区域与全球发展》第1期。</w:t>
      </w:r>
    </w:p>
    <w:p w14:paraId="2FB8B147">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张杰、毕钰、金岳，2021：《中国高新区“以升促建”政策对企业创新的激励效应》，《管理世界》第7期。</w:t>
      </w:r>
    </w:p>
    <w:p w14:paraId="51C5F0B2">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 xml:space="preserve">Aghion, P., N. Bloom, R. Griffith, P. Howitt, and R. W. Blundell. 2005.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Competition and Innovation: An Inverted U Relationship.</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Quarterly Journal of Economics</w:t>
      </w:r>
      <w:r>
        <w:rPr>
          <w:rFonts w:hint="eastAsia" w:ascii="Times New Roman" w:hAnsi="Times New Roman" w:eastAsia="宋体" w:cs="Times New Roman"/>
          <w:color w:val="000000" w:themeColor="text1"/>
          <w:sz w:val="16"/>
          <w:szCs w:val="16"/>
          <w14:textFill>
            <w14:solidFill>
              <w14:schemeClr w14:val="tx1"/>
            </w14:solidFill>
          </w14:textFill>
        </w:rPr>
        <w:t xml:space="preserve"> 120(2): 701-728.</w:t>
      </w:r>
    </w:p>
    <w:p w14:paraId="380DF722">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 xml:space="preserve">Bloom, N., M. Schankerman, and J. V. Reenen. 2013.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Identifying Technology Spillovers and Product Market Rivalry.</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Econometrica</w:t>
      </w:r>
      <w:r>
        <w:rPr>
          <w:rFonts w:hint="eastAsia" w:ascii="Times New Roman" w:hAnsi="Times New Roman" w:eastAsia="宋体" w:cs="Times New Roman"/>
          <w:color w:val="000000" w:themeColor="text1"/>
          <w:sz w:val="16"/>
          <w:szCs w:val="16"/>
          <w14:textFill>
            <w14:solidFill>
              <w14:schemeClr w14:val="tx1"/>
            </w14:solidFill>
          </w14:textFill>
        </w:rPr>
        <w:t xml:space="preserve"> 81(4): 1347-1393.</w:t>
      </w:r>
    </w:p>
    <w:p w14:paraId="3BF6902D">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Callaway, B., and P. H. C. Sant</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Anna. 2021.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Difference-in-differences with multiple time periods.</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 xml:space="preserve">Journal of Econometrics </w:t>
      </w:r>
      <w:r>
        <w:rPr>
          <w:rFonts w:hint="eastAsia" w:ascii="Times New Roman" w:hAnsi="Times New Roman" w:eastAsia="宋体" w:cs="Times New Roman"/>
          <w:color w:val="000000" w:themeColor="text1"/>
          <w:sz w:val="16"/>
          <w:szCs w:val="16"/>
          <w14:textFill>
            <w14:solidFill>
              <w14:schemeClr w14:val="tx1"/>
            </w14:solidFill>
          </w14:textFill>
        </w:rPr>
        <w:t>225(2): 200-230.</w:t>
      </w:r>
    </w:p>
    <w:p w14:paraId="3F6A8330">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lang w:val="en-US" w:eastAsia="zh-CN"/>
          <w14:textFill>
            <w14:solidFill>
              <w14:schemeClr w14:val="tx1"/>
            </w14:solidFill>
          </w14:textFill>
        </w:rPr>
        <w:t xml:space="preserve">de </w:t>
      </w:r>
      <w:r>
        <w:rPr>
          <w:rFonts w:hint="eastAsia" w:ascii="Times New Roman" w:hAnsi="Times New Roman" w:eastAsia="宋体" w:cs="Times New Roman"/>
          <w:color w:val="000000" w:themeColor="text1"/>
          <w:sz w:val="16"/>
          <w:szCs w:val="16"/>
          <w14:textFill>
            <w14:solidFill>
              <w14:schemeClr w14:val="tx1"/>
            </w14:solidFill>
          </w14:textFill>
        </w:rPr>
        <w:t>Chaisemartin, C., and X</w:t>
      </w:r>
      <w:r>
        <w:rPr>
          <w:rFonts w:hint="eastAsia" w:ascii="Times New Roman" w:hAnsi="Times New Roman" w:eastAsia="宋体" w:cs="Times New Roman"/>
          <w:color w:val="000000" w:themeColor="text1"/>
          <w:sz w:val="16"/>
          <w:szCs w:val="16"/>
          <w:lang w:val="en-US" w:eastAsia="zh-CN"/>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D'Haultfœuille. 2020.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Two-Way Fixed Effects Estimators with Heterogeneous Treatment Effects.</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American Economic Review</w:t>
      </w:r>
      <w:r>
        <w:rPr>
          <w:rFonts w:hint="eastAsia" w:ascii="Times New Roman" w:hAnsi="Times New Roman" w:eastAsia="宋体" w:cs="Times New Roman"/>
          <w:color w:val="000000" w:themeColor="text1"/>
          <w:sz w:val="16"/>
          <w:szCs w:val="16"/>
          <w14:textFill>
            <w14:solidFill>
              <w14:schemeClr w14:val="tx1"/>
            </w14:solidFill>
          </w14:textFill>
        </w:rPr>
        <w:t xml:space="preserve"> 110 (9): 2964-96.</w:t>
      </w:r>
    </w:p>
    <w:p w14:paraId="7DFB487C">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 xml:space="preserve">Sun, L., and S. Abraham. 2021.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Estimating Dynamic Treatment Effects in Event Studies with Heterogeneous TreatmentEffects.</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Journal of Econometrics</w:t>
      </w:r>
      <w:r>
        <w:rPr>
          <w:rFonts w:hint="eastAsia" w:ascii="Times New Roman" w:hAnsi="Times New Roman" w:eastAsia="宋体" w:cs="Times New Roman"/>
          <w:color w:val="000000" w:themeColor="text1"/>
          <w:sz w:val="16"/>
          <w:szCs w:val="16"/>
          <w14:textFill>
            <w14:solidFill>
              <w14:schemeClr w14:val="tx1"/>
            </w14:solidFill>
          </w14:textFill>
        </w:rPr>
        <w:t xml:space="preserve"> 225(2): 175-199.</w:t>
      </w:r>
    </w:p>
    <w:p w14:paraId="2C18ACB1">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 xml:space="preserve">Winters, J. V. 2011.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Why are smart cities growing? who moves and who stays.</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w:t>
      </w:r>
      <w:r>
        <w:rPr>
          <w:rFonts w:hint="eastAsia" w:ascii="Times New Roman" w:hAnsi="Times New Roman" w:eastAsia="宋体" w:cs="Times New Roman"/>
          <w:i/>
          <w:iCs/>
          <w:color w:val="000000" w:themeColor="text1"/>
          <w:sz w:val="16"/>
          <w:szCs w:val="16"/>
          <w14:textFill>
            <w14:solidFill>
              <w14:schemeClr w14:val="tx1"/>
            </w14:solidFill>
          </w14:textFill>
        </w:rPr>
        <w:t>Journal of Regional Science</w:t>
      </w:r>
      <w:r>
        <w:rPr>
          <w:rFonts w:hint="eastAsia" w:ascii="Times New Roman" w:hAnsi="Times New Roman" w:eastAsia="宋体" w:cs="Times New Roman"/>
          <w:color w:val="000000" w:themeColor="text1"/>
          <w:sz w:val="16"/>
          <w:szCs w:val="16"/>
          <w14:textFill>
            <w14:solidFill>
              <w14:schemeClr w14:val="tx1"/>
            </w14:solidFill>
          </w14:textFill>
        </w:rPr>
        <w:t> 51(2): 253-270.</w:t>
      </w:r>
    </w:p>
    <w:p w14:paraId="49A5CEA7">
      <w:pPr>
        <w:numPr>
          <w:ilvl w:val="0"/>
          <w:numId w:val="1"/>
        </w:numPr>
        <w:tabs>
          <w:tab w:val="clear" w:pos="0"/>
        </w:tabs>
        <w:rPr>
          <w:rFonts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Times New Roman"/>
          <w:color w:val="000000" w:themeColor="text1"/>
          <w:sz w:val="16"/>
          <w:szCs w:val="16"/>
          <w14:textFill>
            <w14:solidFill>
              <w14:schemeClr w14:val="tx1"/>
            </w14:solidFill>
          </w14:textFill>
        </w:rPr>
        <w:t xml:space="preserve">Zheng, S. L., and Z. C. Li. 2020. </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Pilot governance and the rise of China's innovation.</w:t>
      </w:r>
      <w:r>
        <w:rPr>
          <w:rFonts w:ascii="Times New Roman" w:hAnsi="Times New Roman" w:eastAsia="宋体" w:cs="Times New Roman"/>
          <w:color w:val="000000" w:themeColor="text1"/>
          <w:sz w:val="16"/>
          <w:szCs w:val="16"/>
          <w14:textFill>
            <w14:solidFill>
              <w14:schemeClr w14:val="tx1"/>
            </w14:solidFill>
          </w14:textFill>
        </w:rPr>
        <w:t>”</w:t>
      </w:r>
      <w:r>
        <w:rPr>
          <w:rFonts w:hint="eastAsia" w:ascii="Times New Roman" w:hAnsi="Times New Roman" w:eastAsia="宋体" w:cs="Times New Roman"/>
          <w:color w:val="000000" w:themeColor="text1"/>
          <w:sz w:val="16"/>
          <w:szCs w:val="16"/>
          <w14:textFill>
            <w14:solidFill>
              <w14:schemeClr w14:val="tx1"/>
            </w14:solidFill>
          </w14:textFill>
        </w:rPr>
        <w:t xml:space="preserve"> </w:t>
      </w:r>
      <w:r>
        <w:rPr>
          <w:rFonts w:hint="eastAsia" w:ascii="Times New Roman" w:hAnsi="Times New Roman" w:eastAsia="宋体" w:cs="Times New Roman"/>
          <w:i/>
          <w:iCs/>
          <w:color w:val="000000" w:themeColor="text1"/>
          <w:sz w:val="16"/>
          <w:szCs w:val="16"/>
          <w14:textFill>
            <w14:solidFill>
              <w14:schemeClr w14:val="tx1"/>
            </w14:solidFill>
          </w14:textFill>
        </w:rPr>
        <w:t>China Economic Review</w:t>
      </w:r>
      <w:r>
        <w:rPr>
          <w:rFonts w:hint="eastAsia" w:ascii="Times New Roman" w:hAnsi="Times New Roman" w:eastAsia="宋体" w:cs="Times New Roman"/>
          <w:color w:val="000000" w:themeColor="text1"/>
          <w:sz w:val="16"/>
          <w:szCs w:val="16"/>
          <w14:textFill>
            <w14:solidFill>
              <w14:schemeClr w14:val="tx1"/>
            </w14:solidFill>
          </w14:textFill>
        </w:rPr>
        <w:t xml:space="preserve"> 63: 101521.</w:t>
      </w:r>
    </w:p>
    <w:p w14:paraId="4F482F76">
      <w:pPr>
        <w:shd w:val="clear"/>
        <w:rPr>
          <w:rFonts w:hint="eastAsia" w:ascii="Times New Roman" w:hAnsi="Times New Roman" w:eastAsia="楷体" w:cs="Times New Roman"/>
          <w:sz w:val="18"/>
          <w:szCs w:val="18"/>
        </w:rPr>
      </w:pPr>
    </w:p>
    <w:sectPr>
      <w:footnotePr>
        <w:numFmt w:val="decimalEnclosedCircleChinese"/>
        <w:numRestart w:val="eachPage"/>
      </w:footnote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29E29D71">
      <w:pPr>
        <w:pStyle w:val="2"/>
        <w:keepLines/>
        <w:spacing w:before="0" w:beforeLines="0" w:line="300" w:lineRule="auto"/>
        <w:ind w:firstLine="360" w:firstLineChars="200"/>
        <w:rPr>
          <w:rStyle w:val="5"/>
          <w:rFonts w:ascii="Times New Roman" w:hAnsi="Times New Roman" w:eastAsia="楷体" w:cs="Times New Roman"/>
          <w:szCs w:val="18"/>
          <w:vertAlign w:val="baseline"/>
        </w:rPr>
      </w:pPr>
      <w:r>
        <w:rPr>
          <w:rStyle w:val="5"/>
          <w:rFonts w:ascii="Times New Roman" w:hAnsi="Times New Roman" w:eastAsia="楷体" w:cs="Times New Roman"/>
          <w:szCs w:val="18"/>
          <w:vertAlign w:val="baseline"/>
        </w:rPr>
        <w:footnoteRef/>
      </w:r>
      <w:r>
        <w:rPr>
          <w:rStyle w:val="5"/>
          <w:rFonts w:ascii="Times New Roman" w:hAnsi="Times New Roman" w:eastAsia="楷体" w:cs="Times New Roman"/>
          <w:szCs w:val="18"/>
          <w:vertAlign w:val="baseline"/>
        </w:rPr>
        <w:t>Sun</w:t>
      </w:r>
      <w:r>
        <w:rPr>
          <w:rFonts w:hint="eastAsia" w:ascii="Times New Roman" w:hAnsi="Times New Roman" w:eastAsia="楷体" w:cs="Times New Roman"/>
          <w:szCs w:val="18"/>
        </w:rPr>
        <w:t>和</w:t>
      </w:r>
      <w:r>
        <w:rPr>
          <w:rStyle w:val="5"/>
          <w:rFonts w:ascii="Times New Roman" w:hAnsi="Times New Roman" w:eastAsia="楷体" w:cs="Times New Roman"/>
          <w:szCs w:val="18"/>
          <w:vertAlign w:val="baseline"/>
        </w:rPr>
        <w:t>Abraham（2021）的方法主要解决了某一时段处理效应的估计系数</w:t>
      </w:r>
      <w:r>
        <w:rPr>
          <w:rFonts w:hint="eastAsia" w:ascii="Times New Roman" w:hAnsi="Times New Roman" w:eastAsia="楷体" w:cs="Times New Roman"/>
          <w:szCs w:val="18"/>
        </w:rPr>
        <w:t>受到</w:t>
      </w:r>
      <w:r>
        <w:rPr>
          <w:rStyle w:val="5"/>
          <w:rFonts w:ascii="Times New Roman" w:hAnsi="Times New Roman" w:eastAsia="楷体" w:cs="Times New Roman"/>
          <w:szCs w:val="18"/>
          <w:vertAlign w:val="baseline"/>
        </w:rPr>
        <w:t>其他时段处理效应干扰所产生的权重偏误。在使用该方法时，可能会因为企业根据政策变换行业</w:t>
      </w:r>
      <w:r>
        <w:rPr>
          <w:rFonts w:hint="eastAsia" w:ascii="Times New Roman" w:hAnsi="Times New Roman" w:eastAsia="楷体" w:cs="Times New Roman"/>
          <w:szCs w:val="18"/>
        </w:rPr>
        <w:t>或</w:t>
      </w:r>
      <w:r>
        <w:rPr>
          <w:rStyle w:val="5"/>
          <w:rFonts w:ascii="Times New Roman" w:hAnsi="Times New Roman" w:eastAsia="楷体" w:cs="Times New Roman"/>
          <w:szCs w:val="18"/>
          <w:vertAlign w:val="baseline"/>
        </w:rPr>
        <w:t>地区而产生更为复杂的干扰，我们在估计中剔除了曾经变换过位置与行业的企业样本，以保证不同时段的处理效应不会波动过大。同时，由于Callaway</w:t>
      </w:r>
      <w:r>
        <w:rPr>
          <w:rFonts w:hint="eastAsia" w:ascii="Times New Roman" w:hAnsi="Times New Roman" w:eastAsia="楷体" w:cs="Times New Roman"/>
          <w:szCs w:val="18"/>
        </w:rPr>
        <w:t>和</w:t>
      </w:r>
      <w:r>
        <w:rPr>
          <w:rStyle w:val="5"/>
          <w:rFonts w:ascii="Times New Roman" w:hAnsi="Times New Roman" w:eastAsia="楷体" w:cs="Times New Roman"/>
          <w:szCs w:val="18"/>
          <w:vertAlign w:val="baseline"/>
        </w:rPr>
        <w:t>Sant’Anna（2021）的</w:t>
      </w:r>
      <w:r>
        <w:rPr>
          <w:rStyle w:val="5"/>
          <w:rFonts w:hint="eastAsia" w:ascii="Times New Roman" w:hAnsi="Times New Roman" w:eastAsia="楷体" w:cs="Times New Roman"/>
          <w:szCs w:val="18"/>
          <w:vertAlign w:val="baseline"/>
        </w:rPr>
        <w:t>方法在实践中无法控制过多的固定效应，我们选择在模型中加入基准模型的残差项，对潜在遗漏变量加以控制。</w:t>
      </w:r>
      <w:r>
        <w:rPr>
          <w:rFonts w:hint="eastAsia" w:ascii="Times New Roman" w:hAnsi="Times New Roman" w:eastAsia="楷体" w:cs="Times New Roman"/>
          <w:szCs w:val="18"/>
          <w:vertAlign w:val="baseline"/>
          <w:lang w:val="en-US" w:eastAsia="zh-CN"/>
        </w:rPr>
        <w:t>为确保结果的可比性与稳健性，文中平行趋势检验均剔除了曾经变换过位置与行业的企业样本</w:t>
      </w:r>
      <w:r>
        <w:rPr>
          <w:rStyle w:val="5"/>
          <w:rFonts w:hint="eastAsia" w:ascii="Times New Roman" w:hAnsi="Times New Roman" w:eastAsia="楷体" w:cs="Times New Roman"/>
          <w:szCs w:val="18"/>
          <w:vertAlign w:val="baseline"/>
        </w:rPr>
        <w:t>。</w:t>
      </w:r>
    </w:p>
  </w:footnote>
  <w:footnote w:id="1">
    <w:p w14:paraId="61905D7C">
      <w:pPr>
        <w:pStyle w:val="2"/>
        <w:keepLines/>
        <w:spacing w:before="156" w:beforeLines="50" w:line="300" w:lineRule="auto"/>
        <w:ind w:firstLine="360" w:firstLineChars="200"/>
        <w:rPr>
          <w:rStyle w:val="5"/>
          <w:rFonts w:ascii="Times New Roman" w:hAnsi="Times New Roman" w:eastAsia="楷体" w:cs="Times New Roman"/>
          <w:szCs w:val="18"/>
          <w:vertAlign w:val="baseline"/>
        </w:rPr>
      </w:pPr>
      <w:r>
        <w:rPr>
          <w:rStyle w:val="5"/>
          <w:rFonts w:ascii="Times New Roman" w:hAnsi="Times New Roman" w:eastAsia="楷体" w:cs="Times New Roman"/>
          <w:szCs w:val="18"/>
          <w:vertAlign w:val="baseline"/>
        </w:rPr>
        <w:footnoteRef/>
      </w:r>
      <w:r>
        <w:rPr>
          <w:rStyle w:val="5"/>
          <w:rFonts w:hint="eastAsia" w:ascii="Times New Roman" w:hAnsi="Times New Roman" w:eastAsia="楷体" w:cs="Times New Roman"/>
          <w:szCs w:val="18"/>
          <w:vertAlign w:val="baseline"/>
        </w:rPr>
        <w:t>当企业注册地址文本中包含关键词“高新”、“技术产业”、“产业开发”与“高新区”时，我们认为它位于园区内。虽然该指标可能涵盖其他园区内的企业样本，但在与“高新区设立”变量做交互后有助于进一步识别高新区设立后位于园区内的企业。</w:t>
      </w:r>
    </w:p>
  </w:footnote>
  <w:footnote w:id="2">
    <w:p w14:paraId="32F6EEC7">
      <w:pPr>
        <w:pStyle w:val="2"/>
        <w:keepNext w:val="0"/>
        <w:keepLines w:val="0"/>
        <w:pageBreakBefore w:val="0"/>
        <w:widowControl w:val="0"/>
        <w:kinsoku/>
        <w:wordWrap/>
        <w:overflowPunct/>
        <w:topLinePunct w:val="0"/>
        <w:bidi w:val="0"/>
        <w:adjustRightInd/>
        <w:snapToGrid w:val="0"/>
        <w:spacing w:before="0" w:beforeLines="50"/>
        <w:ind w:firstLine="360" w:firstLineChars="200"/>
        <w:textAlignment w:val="auto"/>
      </w:pPr>
      <w:r>
        <w:rPr>
          <w:rStyle w:val="5"/>
          <w:rFonts w:ascii="Times New Roman" w:hAnsi="Times New Roman" w:cs="Times New Roman"/>
          <w:vertAlign w:val="baseline"/>
        </w:rPr>
        <w:footnoteRef/>
      </w:r>
      <w:r>
        <w:rPr>
          <w:rStyle w:val="5"/>
          <w:rFonts w:hint="eastAsia" w:ascii="Times New Roman" w:hAnsi="Times New Roman" w:eastAsia="楷体" w:cs="Times New Roman"/>
          <w:szCs w:val="18"/>
          <w:vertAlign w:val="baseline"/>
        </w:rPr>
        <w:t>由于整体中某一</w:t>
      </w:r>
      <w:r>
        <w:rPr>
          <w:rStyle w:val="5"/>
          <w:rFonts w:ascii="Times New Roman" w:hAnsi="Times New Roman" w:eastAsia="楷体" w:cs="Times New Roman"/>
          <w:szCs w:val="18"/>
          <w:vertAlign w:val="baseline"/>
        </w:rPr>
        <w:t>IPC出现的概率</w:t>
      </w:r>
      <w:r>
        <w:rPr>
          <w:rStyle w:val="5"/>
          <w:rFonts w:hint="eastAsia" w:ascii="Times New Roman" w:hAnsi="Times New Roman" w:eastAsia="楷体" w:cs="Times New Roman"/>
          <w:szCs w:val="18"/>
          <w:vertAlign w:val="baseline"/>
        </w:rPr>
        <w:t>对所有企业均一致，我们以其平方项</w:t>
      </w:r>
      <m:oMath>
        <m:sSub>
          <m:sSubPr>
            <m:ctrlPr>
              <w:rPr>
                <w:rStyle w:val="5"/>
                <w:rFonts w:ascii="Cambria Math" w:hAnsi="Cambria Math" w:eastAsia="楷体" w:cs="Times New Roman"/>
                <w:i/>
                <w:iCs/>
                <w:szCs w:val="18"/>
                <w:vertAlign w:val="baseline"/>
              </w:rPr>
            </m:ctrlPr>
          </m:sSubPr>
          <m:e>
            <m:r>
              <m:rPr/>
              <w:rPr>
                <w:rStyle w:val="5"/>
                <w:rFonts w:ascii="Cambria Math" w:hAnsi="Cambria Math" w:eastAsia="楷体" w:cs="Times New Roman"/>
                <w:szCs w:val="18"/>
                <w:vertAlign w:val="baseline"/>
              </w:rPr>
              <m:t>ω</m:t>
            </m:r>
            <m:ctrlPr>
              <w:rPr>
                <w:rStyle w:val="5"/>
                <w:rFonts w:ascii="Cambria Math" w:hAnsi="Cambria Math" w:eastAsia="楷体" w:cs="Times New Roman"/>
                <w:i/>
                <w:iCs/>
                <w:szCs w:val="18"/>
                <w:vertAlign w:val="baseline"/>
              </w:rPr>
            </m:ctrlPr>
          </m:e>
          <m:sub>
            <m:r>
              <m:rPr/>
              <w:rPr>
                <w:rStyle w:val="5"/>
                <w:rFonts w:hint="eastAsia" w:ascii="Cambria Math" w:hAnsi="Cambria Math" w:eastAsia="楷体" w:cs="Times New Roman"/>
                <w:szCs w:val="18"/>
                <w:vertAlign w:val="baseline"/>
              </w:rPr>
              <m:t>2</m:t>
            </m:r>
            <m:ctrlPr>
              <w:rPr>
                <w:rStyle w:val="5"/>
                <w:rFonts w:ascii="Cambria Math" w:hAnsi="Cambria Math" w:eastAsia="楷体" w:cs="Times New Roman"/>
                <w:i/>
                <w:iCs/>
                <w:szCs w:val="18"/>
                <w:vertAlign w:val="baseline"/>
              </w:rPr>
            </m:ctrlPr>
          </m:sub>
        </m:sSub>
      </m:oMath>
      <w:r>
        <w:rPr>
          <w:rStyle w:val="5"/>
          <w:rFonts w:hint="eastAsia" w:ascii="Times New Roman" w:hAnsi="Times New Roman" w:eastAsia="楷体" w:cs="Times New Roman"/>
          <w:szCs w:val="18"/>
          <w:vertAlign w:val="baseline"/>
        </w:rPr>
        <w:t>测度两个企业出现在同一领域</w:t>
      </w:r>
      <w:r>
        <w:rPr>
          <w:rStyle w:val="5"/>
          <w:rFonts w:hint="eastAsia" w:ascii="Times New Roman" w:hAnsi="Times New Roman" w:eastAsia="楷体" w:cs="Times New Roman"/>
          <w:i/>
          <w:iCs/>
          <w:szCs w:val="18"/>
          <w:vertAlign w:val="baseline"/>
        </w:rPr>
        <w:t>g</w:t>
      </w:r>
      <w:r>
        <w:rPr>
          <w:rStyle w:val="5"/>
          <w:rFonts w:hint="eastAsia" w:ascii="Times New Roman" w:hAnsi="Times New Roman" w:eastAsia="楷体" w:cs="Times New Roman"/>
          <w:szCs w:val="18"/>
          <w:vertAlign w:val="baseline"/>
        </w:rPr>
        <w:t>中实现知识溢出接收的概率。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3BAC7"/>
    <w:multiLevelType w:val="singleLevel"/>
    <w:tmpl w:val="D4D3BAC7"/>
    <w:lvl w:ilvl="0" w:tentative="0">
      <w:start w:val="1"/>
      <w:numFmt w:val="decimal"/>
      <w:suff w:val="nothing"/>
      <w:lvlText w:val="%1."/>
      <w:lvlJc w:val="left"/>
      <w:pPr>
        <w:tabs>
          <w:tab w:val="left" w:pos="0"/>
        </w:tabs>
        <w:ind w:left="195" w:hanging="1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6"/>
    <w:footnote w:id="7"/>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766A4E"/>
    <w:rsid w:val="014A7BFF"/>
    <w:rsid w:val="01BD17FD"/>
    <w:rsid w:val="022E6257"/>
    <w:rsid w:val="0256755B"/>
    <w:rsid w:val="02783976"/>
    <w:rsid w:val="0293255D"/>
    <w:rsid w:val="029D518A"/>
    <w:rsid w:val="02C1356F"/>
    <w:rsid w:val="03192A63"/>
    <w:rsid w:val="03196F07"/>
    <w:rsid w:val="03FF53AB"/>
    <w:rsid w:val="042913CB"/>
    <w:rsid w:val="045F6B9B"/>
    <w:rsid w:val="046248DD"/>
    <w:rsid w:val="049C7DEF"/>
    <w:rsid w:val="04F64013"/>
    <w:rsid w:val="04F80D9E"/>
    <w:rsid w:val="052E75AC"/>
    <w:rsid w:val="05793C8D"/>
    <w:rsid w:val="064A5629"/>
    <w:rsid w:val="0694667D"/>
    <w:rsid w:val="070659F4"/>
    <w:rsid w:val="075E138C"/>
    <w:rsid w:val="075F5104"/>
    <w:rsid w:val="07FC0BA5"/>
    <w:rsid w:val="080539E9"/>
    <w:rsid w:val="08055CAB"/>
    <w:rsid w:val="08063538"/>
    <w:rsid w:val="0874698D"/>
    <w:rsid w:val="08B80F70"/>
    <w:rsid w:val="08CF45F2"/>
    <w:rsid w:val="097F1A8E"/>
    <w:rsid w:val="0A03446D"/>
    <w:rsid w:val="0A4571CF"/>
    <w:rsid w:val="0A605150"/>
    <w:rsid w:val="0AB47515"/>
    <w:rsid w:val="0B3D5B8A"/>
    <w:rsid w:val="0B5629C5"/>
    <w:rsid w:val="0B6A3512"/>
    <w:rsid w:val="0C753CCA"/>
    <w:rsid w:val="0C9A3825"/>
    <w:rsid w:val="0CAC2B9A"/>
    <w:rsid w:val="0CB274FA"/>
    <w:rsid w:val="0CF339BC"/>
    <w:rsid w:val="0D95362E"/>
    <w:rsid w:val="0DC161D1"/>
    <w:rsid w:val="0DE3083D"/>
    <w:rsid w:val="0E0A5DCA"/>
    <w:rsid w:val="0EC84B30"/>
    <w:rsid w:val="0F146076"/>
    <w:rsid w:val="0F401AF2"/>
    <w:rsid w:val="0F81030D"/>
    <w:rsid w:val="0F8B55A1"/>
    <w:rsid w:val="0FB72CAE"/>
    <w:rsid w:val="10240C99"/>
    <w:rsid w:val="10810BC6"/>
    <w:rsid w:val="10CA7A92"/>
    <w:rsid w:val="10FD7E68"/>
    <w:rsid w:val="11325B02"/>
    <w:rsid w:val="116003F7"/>
    <w:rsid w:val="119360D6"/>
    <w:rsid w:val="11C52008"/>
    <w:rsid w:val="11DE0495"/>
    <w:rsid w:val="12371157"/>
    <w:rsid w:val="126D4B79"/>
    <w:rsid w:val="133A6B5F"/>
    <w:rsid w:val="13BF1404"/>
    <w:rsid w:val="13BF7656"/>
    <w:rsid w:val="13D053C0"/>
    <w:rsid w:val="13DD7ADC"/>
    <w:rsid w:val="141D437D"/>
    <w:rsid w:val="15194B44"/>
    <w:rsid w:val="159D617B"/>
    <w:rsid w:val="16014ED0"/>
    <w:rsid w:val="16557DFE"/>
    <w:rsid w:val="16664AD6"/>
    <w:rsid w:val="16DE7DF3"/>
    <w:rsid w:val="171B4ABF"/>
    <w:rsid w:val="17577BA6"/>
    <w:rsid w:val="179F64A3"/>
    <w:rsid w:val="17BE7C25"/>
    <w:rsid w:val="186210E7"/>
    <w:rsid w:val="18695DE3"/>
    <w:rsid w:val="18C92265"/>
    <w:rsid w:val="18DF7E53"/>
    <w:rsid w:val="194C3B6E"/>
    <w:rsid w:val="19864D35"/>
    <w:rsid w:val="198F3627"/>
    <w:rsid w:val="19A60971"/>
    <w:rsid w:val="1A310B82"/>
    <w:rsid w:val="1A475CB0"/>
    <w:rsid w:val="1A750A6F"/>
    <w:rsid w:val="1ACF6C75"/>
    <w:rsid w:val="1B6767D5"/>
    <w:rsid w:val="1B6F54BE"/>
    <w:rsid w:val="1BCA5D48"/>
    <w:rsid w:val="1BCC6EF5"/>
    <w:rsid w:val="1C47643B"/>
    <w:rsid w:val="1C780D06"/>
    <w:rsid w:val="1CBF2475"/>
    <w:rsid w:val="1CF7370F"/>
    <w:rsid w:val="1D5E3A3C"/>
    <w:rsid w:val="1D743260"/>
    <w:rsid w:val="1D9A259A"/>
    <w:rsid w:val="1DF223D6"/>
    <w:rsid w:val="1E186BA1"/>
    <w:rsid w:val="1E2307E2"/>
    <w:rsid w:val="1E366767"/>
    <w:rsid w:val="1ED55F80"/>
    <w:rsid w:val="1F874D8A"/>
    <w:rsid w:val="202D76F6"/>
    <w:rsid w:val="207F2647"/>
    <w:rsid w:val="20B47E17"/>
    <w:rsid w:val="21311468"/>
    <w:rsid w:val="2188019B"/>
    <w:rsid w:val="22230DB0"/>
    <w:rsid w:val="22280ABD"/>
    <w:rsid w:val="23040BE2"/>
    <w:rsid w:val="23474F72"/>
    <w:rsid w:val="234A072D"/>
    <w:rsid w:val="23C465C3"/>
    <w:rsid w:val="23D04F68"/>
    <w:rsid w:val="23D706B8"/>
    <w:rsid w:val="2432352D"/>
    <w:rsid w:val="24417C14"/>
    <w:rsid w:val="24697B84"/>
    <w:rsid w:val="24763D61"/>
    <w:rsid w:val="24881DC4"/>
    <w:rsid w:val="25396B3D"/>
    <w:rsid w:val="25624FED"/>
    <w:rsid w:val="25780CA3"/>
    <w:rsid w:val="258129BE"/>
    <w:rsid w:val="265C0D35"/>
    <w:rsid w:val="270A253F"/>
    <w:rsid w:val="270F7B55"/>
    <w:rsid w:val="274C0DA9"/>
    <w:rsid w:val="28706D19"/>
    <w:rsid w:val="289742A6"/>
    <w:rsid w:val="28B135BA"/>
    <w:rsid w:val="28D728F5"/>
    <w:rsid w:val="2986138A"/>
    <w:rsid w:val="29891E41"/>
    <w:rsid w:val="29997554"/>
    <w:rsid w:val="2A61691A"/>
    <w:rsid w:val="2A7733BB"/>
    <w:rsid w:val="2AD27817"/>
    <w:rsid w:val="2AE35581"/>
    <w:rsid w:val="2B4A3852"/>
    <w:rsid w:val="2B7B3A0B"/>
    <w:rsid w:val="2C1300E8"/>
    <w:rsid w:val="2C882884"/>
    <w:rsid w:val="2CA059EB"/>
    <w:rsid w:val="2CE91B01"/>
    <w:rsid w:val="2CFA6D03"/>
    <w:rsid w:val="2D362412"/>
    <w:rsid w:val="2D452CD3"/>
    <w:rsid w:val="2D4D3ECB"/>
    <w:rsid w:val="2E402458"/>
    <w:rsid w:val="2EE10029"/>
    <w:rsid w:val="2F171C9D"/>
    <w:rsid w:val="2FB7522E"/>
    <w:rsid w:val="2FC02334"/>
    <w:rsid w:val="2FD1009E"/>
    <w:rsid w:val="30135F84"/>
    <w:rsid w:val="3075311F"/>
    <w:rsid w:val="3082583C"/>
    <w:rsid w:val="312D39F9"/>
    <w:rsid w:val="315F0433"/>
    <w:rsid w:val="31841C63"/>
    <w:rsid w:val="31F34429"/>
    <w:rsid w:val="32193F7E"/>
    <w:rsid w:val="329A50BF"/>
    <w:rsid w:val="32D81743"/>
    <w:rsid w:val="33027F46"/>
    <w:rsid w:val="33C323F3"/>
    <w:rsid w:val="33C85C5B"/>
    <w:rsid w:val="33CD5020"/>
    <w:rsid w:val="33D04B10"/>
    <w:rsid w:val="347418D4"/>
    <w:rsid w:val="357F37B1"/>
    <w:rsid w:val="35B46497"/>
    <w:rsid w:val="35ED19A9"/>
    <w:rsid w:val="362F1FC2"/>
    <w:rsid w:val="36FE6E8E"/>
    <w:rsid w:val="37272C99"/>
    <w:rsid w:val="378079B0"/>
    <w:rsid w:val="38F848ED"/>
    <w:rsid w:val="39551D3F"/>
    <w:rsid w:val="39AF6E3D"/>
    <w:rsid w:val="3A142B15"/>
    <w:rsid w:val="3A3E4582"/>
    <w:rsid w:val="3A461688"/>
    <w:rsid w:val="3B4F27BE"/>
    <w:rsid w:val="3B715474"/>
    <w:rsid w:val="3B820DE6"/>
    <w:rsid w:val="3B9F54F4"/>
    <w:rsid w:val="3BA42B0A"/>
    <w:rsid w:val="3BA725FA"/>
    <w:rsid w:val="3BE41159"/>
    <w:rsid w:val="3C1063F2"/>
    <w:rsid w:val="3C1A7270"/>
    <w:rsid w:val="3C1E28BD"/>
    <w:rsid w:val="3CED04E1"/>
    <w:rsid w:val="3D071144"/>
    <w:rsid w:val="3D404AB5"/>
    <w:rsid w:val="3D4E0F7F"/>
    <w:rsid w:val="3D4F15B2"/>
    <w:rsid w:val="3DD11E57"/>
    <w:rsid w:val="3E2D328B"/>
    <w:rsid w:val="3E614CE2"/>
    <w:rsid w:val="3E9A1FA2"/>
    <w:rsid w:val="3EB63280"/>
    <w:rsid w:val="3F422D66"/>
    <w:rsid w:val="3FD02F11"/>
    <w:rsid w:val="3FE47979"/>
    <w:rsid w:val="405E3BCF"/>
    <w:rsid w:val="407067E3"/>
    <w:rsid w:val="40714F85"/>
    <w:rsid w:val="40E8615A"/>
    <w:rsid w:val="417E03F0"/>
    <w:rsid w:val="41866873"/>
    <w:rsid w:val="418807D8"/>
    <w:rsid w:val="419329F4"/>
    <w:rsid w:val="41A27AEC"/>
    <w:rsid w:val="41B65345"/>
    <w:rsid w:val="41E719A3"/>
    <w:rsid w:val="429C453B"/>
    <w:rsid w:val="43120BA9"/>
    <w:rsid w:val="432A426B"/>
    <w:rsid w:val="434370AD"/>
    <w:rsid w:val="434D3A87"/>
    <w:rsid w:val="43F32881"/>
    <w:rsid w:val="443B7D84"/>
    <w:rsid w:val="448D6CA3"/>
    <w:rsid w:val="45303B08"/>
    <w:rsid w:val="46072613"/>
    <w:rsid w:val="465670F7"/>
    <w:rsid w:val="46DF70EC"/>
    <w:rsid w:val="46E32568"/>
    <w:rsid w:val="478945D9"/>
    <w:rsid w:val="47A10846"/>
    <w:rsid w:val="4864472C"/>
    <w:rsid w:val="48645D74"/>
    <w:rsid w:val="486A6E89"/>
    <w:rsid w:val="4874505C"/>
    <w:rsid w:val="48AC74A2"/>
    <w:rsid w:val="48B40105"/>
    <w:rsid w:val="48B84099"/>
    <w:rsid w:val="48F826E7"/>
    <w:rsid w:val="49521DF7"/>
    <w:rsid w:val="496E6505"/>
    <w:rsid w:val="49867CF3"/>
    <w:rsid w:val="49B760FE"/>
    <w:rsid w:val="4A100B71"/>
    <w:rsid w:val="4A1277D9"/>
    <w:rsid w:val="4A1470AD"/>
    <w:rsid w:val="4A6F152E"/>
    <w:rsid w:val="4A871F75"/>
    <w:rsid w:val="4AAD2CDD"/>
    <w:rsid w:val="4AC563A5"/>
    <w:rsid w:val="4B3B5C2E"/>
    <w:rsid w:val="4C1C66ED"/>
    <w:rsid w:val="4C8A18A8"/>
    <w:rsid w:val="4D115B26"/>
    <w:rsid w:val="4E1F24C4"/>
    <w:rsid w:val="4E3E294A"/>
    <w:rsid w:val="4E824F2D"/>
    <w:rsid w:val="4EE07101"/>
    <w:rsid w:val="4EE660BB"/>
    <w:rsid w:val="4FE03BF0"/>
    <w:rsid w:val="4FF52D6F"/>
    <w:rsid w:val="500E27F0"/>
    <w:rsid w:val="50136205"/>
    <w:rsid w:val="50D457E8"/>
    <w:rsid w:val="50F96FFC"/>
    <w:rsid w:val="50F97A16"/>
    <w:rsid w:val="511205D2"/>
    <w:rsid w:val="51300C89"/>
    <w:rsid w:val="51A74CAA"/>
    <w:rsid w:val="51EE28D9"/>
    <w:rsid w:val="527B23BF"/>
    <w:rsid w:val="52A80079"/>
    <w:rsid w:val="52A813AA"/>
    <w:rsid w:val="52FD1026"/>
    <w:rsid w:val="52FE4D9E"/>
    <w:rsid w:val="532540D9"/>
    <w:rsid w:val="53640760"/>
    <w:rsid w:val="538C23AA"/>
    <w:rsid w:val="53C438F2"/>
    <w:rsid w:val="5411465D"/>
    <w:rsid w:val="54453FD6"/>
    <w:rsid w:val="547C241E"/>
    <w:rsid w:val="55202DAA"/>
    <w:rsid w:val="555667CB"/>
    <w:rsid w:val="55A35789"/>
    <w:rsid w:val="560426CB"/>
    <w:rsid w:val="563352B9"/>
    <w:rsid w:val="56446F6C"/>
    <w:rsid w:val="56535401"/>
    <w:rsid w:val="56925F29"/>
    <w:rsid w:val="56BD287A"/>
    <w:rsid w:val="56DE370B"/>
    <w:rsid w:val="56E32DA0"/>
    <w:rsid w:val="576A47B0"/>
    <w:rsid w:val="57877110"/>
    <w:rsid w:val="57A2219C"/>
    <w:rsid w:val="57A4224B"/>
    <w:rsid w:val="57C57C38"/>
    <w:rsid w:val="58070251"/>
    <w:rsid w:val="5829466B"/>
    <w:rsid w:val="584E53FC"/>
    <w:rsid w:val="58733B38"/>
    <w:rsid w:val="59084281"/>
    <w:rsid w:val="594159E5"/>
    <w:rsid w:val="595A2602"/>
    <w:rsid w:val="5AD05697"/>
    <w:rsid w:val="5B332483"/>
    <w:rsid w:val="5B4B2B4A"/>
    <w:rsid w:val="5B9718EC"/>
    <w:rsid w:val="5C9A5B38"/>
    <w:rsid w:val="5C9B5F4A"/>
    <w:rsid w:val="5CAE3391"/>
    <w:rsid w:val="5D290B03"/>
    <w:rsid w:val="5D336228"/>
    <w:rsid w:val="5DAF6638"/>
    <w:rsid w:val="5E08087F"/>
    <w:rsid w:val="5E543AC4"/>
    <w:rsid w:val="5E6474CA"/>
    <w:rsid w:val="5E6C3675"/>
    <w:rsid w:val="5E6C7060"/>
    <w:rsid w:val="5F46453A"/>
    <w:rsid w:val="5F5A140F"/>
    <w:rsid w:val="5F797C86"/>
    <w:rsid w:val="60297D05"/>
    <w:rsid w:val="6115578D"/>
    <w:rsid w:val="61271964"/>
    <w:rsid w:val="612B689F"/>
    <w:rsid w:val="6139713B"/>
    <w:rsid w:val="61687CC9"/>
    <w:rsid w:val="62143C96"/>
    <w:rsid w:val="623E192C"/>
    <w:rsid w:val="628801E0"/>
    <w:rsid w:val="629F771D"/>
    <w:rsid w:val="62A82630"/>
    <w:rsid w:val="62EE098B"/>
    <w:rsid w:val="63A70B3A"/>
    <w:rsid w:val="64267CB1"/>
    <w:rsid w:val="644665A5"/>
    <w:rsid w:val="64744EC0"/>
    <w:rsid w:val="648D7D30"/>
    <w:rsid w:val="64E75692"/>
    <w:rsid w:val="64EE6A20"/>
    <w:rsid w:val="65165F77"/>
    <w:rsid w:val="651A5A67"/>
    <w:rsid w:val="65B37C6A"/>
    <w:rsid w:val="65B55790"/>
    <w:rsid w:val="65E676F8"/>
    <w:rsid w:val="66285F62"/>
    <w:rsid w:val="66D6776C"/>
    <w:rsid w:val="66DA46D0"/>
    <w:rsid w:val="66DE2AC5"/>
    <w:rsid w:val="66E856F1"/>
    <w:rsid w:val="67DD2D7C"/>
    <w:rsid w:val="685A617B"/>
    <w:rsid w:val="68646FFA"/>
    <w:rsid w:val="6870599E"/>
    <w:rsid w:val="697274F4"/>
    <w:rsid w:val="699F653B"/>
    <w:rsid w:val="69B813AB"/>
    <w:rsid w:val="69F60125"/>
    <w:rsid w:val="69FD3B9A"/>
    <w:rsid w:val="6A623431"/>
    <w:rsid w:val="6A7D43A3"/>
    <w:rsid w:val="6AAD4C88"/>
    <w:rsid w:val="6AD0160E"/>
    <w:rsid w:val="6B863220"/>
    <w:rsid w:val="6BF012D0"/>
    <w:rsid w:val="6BF025A9"/>
    <w:rsid w:val="6C3C4515"/>
    <w:rsid w:val="6CC12C6C"/>
    <w:rsid w:val="6D237483"/>
    <w:rsid w:val="6D3A657B"/>
    <w:rsid w:val="6D415B5B"/>
    <w:rsid w:val="6DBF657D"/>
    <w:rsid w:val="6E1374F8"/>
    <w:rsid w:val="6E3631E6"/>
    <w:rsid w:val="6EE175F6"/>
    <w:rsid w:val="6EEE3AC1"/>
    <w:rsid w:val="6F9C351D"/>
    <w:rsid w:val="6FC54822"/>
    <w:rsid w:val="70A2055A"/>
    <w:rsid w:val="70C42FB3"/>
    <w:rsid w:val="70F74EAF"/>
    <w:rsid w:val="71187BE2"/>
    <w:rsid w:val="71926986"/>
    <w:rsid w:val="719F449E"/>
    <w:rsid w:val="71D16685"/>
    <w:rsid w:val="72343EE1"/>
    <w:rsid w:val="72646574"/>
    <w:rsid w:val="7275252F"/>
    <w:rsid w:val="730833A3"/>
    <w:rsid w:val="730B69EF"/>
    <w:rsid w:val="7327336D"/>
    <w:rsid w:val="743106D8"/>
    <w:rsid w:val="74766A4E"/>
    <w:rsid w:val="74984C3A"/>
    <w:rsid w:val="74A57823"/>
    <w:rsid w:val="74B11819"/>
    <w:rsid w:val="751002ED"/>
    <w:rsid w:val="755B126B"/>
    <w:rsid w:val="75862CA5"/>
    <w:rsid w:val="75C71977"/>
    <w:rsid w:val="76631674"/>
    <w:rsid w:val="76983F7B"/>
    <w:rsid w:val="76B61368"/>
    <w:rsid w:val="76BE30C0"/>
    <w:rsid w:val="76D87530"/>
    <w:rsid w:val="76F81981"/>
    <w:rsid w:val="77073F57"/>
    <w:rsid w:val="77452BA0"/>
    <w:rsid w:val="77470212"/>
    <w:rsid w:val="77A94A29"/>
    <w:rsid w:val="77B32847"/>
    <w:rsid w:val="78193AE2"/>
    <w:rsid w:val="7826607A"/>
    <w:rsid w:val="78685D53"/>
    <w:rsid w:val="78BE4504"/>
    <w:rsid w:val="79142376"/>
    <w:rsid w:val="79164340"/>
    <w:rsid w:val="795141AE"/>
    <w:rsid w:val="7ADB139D"/>
    <w:rsid w:val="7AEF4E49"/>
    <w:rsid w:val="7B62386D"/>
    <w:rsid w:val="7C030BAC"/>
    <w:rsid w:val="7C042B76"/>
    <w:rsid w:val="7C120DEF"/>
    <w:rsid w:val="7C477EBE"/>
    <w:rsid w:val="7C8021FC"/>
    <w:rsid w:val="7CB974BC"/>
    <w:rsid w:val="7CD73DE6"/>
    <w:rsid w:val="7CF624BE"/>
    <w:rsid w:val="7D733B0F"/>
    <w:rsid w:val="7E094473"/>
    <w:rsid w:val="7E1370A0"/>
    <w:rsid w:val="7E370FE0"/>
    <w:rsid w:val="7F4A6AF1"/>
    <w:rsid w:val="7F5259A6"/>
    <w:rsid w:val="7FBB69DF"/>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character" w:styleId="5">
    <w:name w:val="footnote reference"/>
    <w:basedOn w:val="4"/>
    <w:qFormat/>
    <w:uiPriority w:val="0"/>
    <w:rPr>
      <w:vertAlign w:val="superscript"/>
    </w:rPr>
  </w:style>
  <w:style w:type="paragraph" w:customStyle="1" w:styleId="6">
    <w:name w:val="南方经济表格题目"/>
    <w:basedOn w:val="1"/>
    <w:autoRedefine/>
    <w:qFormat/>
    <w:uiPriority w:val="0"/>
    <w:pPr>
      <w:autoSpaceDE w:val="0"/>
      <w:autoSpaceDN w:val="0"/>
      <w:adjustRightInd w:val="0"/>
      <w:spacing w:line="360" w:lineRule="auto"/>
      <w:ind w:firstLine="200" w:firstLineChars="200"/>
      <w:jc w:val="center"/>
    </w:pPr>
    <w:rPr>
      <w:rFonts w:ascii="Times New Roman" w:hAnsi="Times New Roman" w:eastAsia="楷体"/>
      <w:b/>
      <w:bCs/>
      <w:color w:val="000000"/>
      <w:kern w:val="0"/>
      <w:sz w:val="1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4863</Words>
  <Characters>6700</Characters>
  <Lines>0</Lines>
  <Paragraphs>0</Paragraphs>
  <TotalTime>2</TotalTime>
  <ScaleCrop>false</ScaleCrop>
  <LinksUpToDate>false</LinksUpToDate>
  <CharactersWithSpaces>6952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2026-01-28T07:06:00Z</dcterms:created>
  <dc:creator>张宇平</dc:creator>
  <cp:lastModifiedBy>张宇平</cp:lastModifiedBy>
  <dcterms:modified xsi:type="dcterms:W3CDTF">2026-07-26T15:10:39Z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73B5D2D4782D45F08F49AAC29203191F_13</vt:lpwstr>
  </property>
  <property fmtid="{D5CDD505-2E9C-101B-9397-08002B2CF9AE}" pid="4" name="KSOTemplateDocerSaveRecord">
    <vt:lpwstr>eyJoZGlkIjoiM2NjZTk2YzI0ZjUwOGEyNDMwODRmMGZhNzQ0OWNlNWUiLCJ1c2VySWQiOiI2MTczMzY2NTUifQ==</vt:lpwstr>
  </property>
</Properties>
</file>