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16DF0">
      <w:pPr>
        <w:ind w:firstLine="0" w:firstLineChars="0"/>
        <w:rPr>
          <w:rFonts w:ascii="Calibri" w:hAnsi="Calibri"/>
        </w:rPr>
      </w:pPr>
      <w:bookmarkStart w:id="0" w:name="_Hlk51264469"/>
      <w:bookmarkStart w:id="1" w:name="_Toc106138201"/>
      <w:bookmarkStart w:id="2" w:name="_Toc106138182"/>
      <w:bookmarkStart w:id="3" w:name="_Toc104830146"/>
      <w:r>
        <w:rPr>
          <w:rFonts w:hint="eastAsia" w:ascii="Calibri" w:hAnsi="Calibri"/>
          <w:b/>
          <w:sz w:val="44"/>
          <w:szCs w:val="44"/>
        </w:rPr>
        <w:t>附 录</w:t>
      </w:r>
    </w:p>
    <w:p w14:paraId="203354C0">
      <w:pPr>
        <w:widowControl/>
        <w:shd w:val="clear" w:color="auto" w:fill="FFFFFF"/>
        <w:ind w:firstLine="0" w:firstLineChars="0"/>
        <w:jc w:val="center"/>
        <w:rPr>
          <w:rFonts w:hint="eastAsia" w:ascii="仿宋" w:hAnsi="仿宋" w:eastAsia="仿宋"/>
          <w:b/>
          <w:kern w:val="0"/>
          <w:sz w:val="28"/>
          <w:szCs w:val="28"/>
        </w:rPr>
      </w:pPr>
      <w:r>
        <w:rPr>
          <w:rFonts w:hint="eastAsia" w:ascii="仿宋" w:hAnsi="仿宋" w:eastAsia="仿宋"/>
          <w:b/>
          <w:kern w:val="0"/>
          <w:sz w:val="28"/>
          <w:szCs w:val="28"/>
        </w:rPr>
        <w:t>正文未报告部分</w:t>
      </w:r>
      <w:bookmarkEnd w:id="0"/>
    </w:p>
    <w:p w14:paraId="6C4704F1">
      <w:pPr>
        <w:widowControl/>
        <w:shd w:val="clear" w:color="auto" w:fill="FFFFFF"/>
        <w:ind w:firstLine="0" w:firstLineChars="0"/>
        <w:jc w:val="center"/>
        <w:outlineLvl w:val="0"/>
        <w:rPr>
          <w:rFonts w:hint="eastAsia" w:ascii="仿宋" w:hAnsi="仿宋" w:eastAsia="仿宋"/>
          <w:b/>
          <w:kern w:val="0"/>
          <w:sz w:val="28"/>
          <w:szCs w:val="28"/>
        </w:rPr>
      </w:pPr>
      <w:r>
        <w:rPr>
          <w:rFonts w:ascii="仿宋" w:hAnsi="仿宋" w:eastAsia="仿宋"/>
          <w:b/>
          <w:kern w:val="0"/>
          <w:sz w:val="28"/>
          <w:szCs w:val="28"/>
        </w:rPr>
        <w:t>附录</w:t>
      </w:r>
      <w:r>
        <w:rPr>
          <w:rFonts w:eastAsia="仿宋"/>
          <w:b/>
          <w:kern w:val="0"/>
          <w:sz w:val="28"/>
          <w:szCs w:val="28"/>
        </w:rPr>
        <w:t>1</w:t>
      </w:r>
      <w:r>
        <w:rPr>
          <w:rFonts w:hint="eastAsia" w:eastAsia="仿宋"/>
          <w:b/>
          <w:kern w:val="0"/>
          <w:sz w:val="28"/>
          <w:szCs w:val="28"/>
        </w:rPr>
        <w:t>.</w:t>
      </w:r>
      <w:r>
        <w:rPr>
          <w:rFonts w:hint="eastAsia" w:eastAsia="仿宋"/>
          <w:b/>
          <w:kern w:val="0"/>
          <w:sz w:val="28"/>
          <w:szCs w:val="28"/>
          <w:lang w:val="en-US" w:eastAsia="zh-CN"/>
        </w:rPr>
        <w:t xml:space="preserve"> </w:t>
      </w:r>
      <w:r>
        <w:rPr>
          <w:rFonts w:hint="eastAsia" w:ascii="仿宋" w:hAnsi="仿宋" w:eastAsia="仿宋"/>
          <w:b/>
          <w:kern w:val="0"/>
          <w:sz w:val="28"/>
          <w:szCs w:val="28"/>
        </w:rPr>
        <w:t>政策背景</w:t>
      </w:r>
    </w:p>
    <w:p w14:paraId="2A4EED6A">
      <w:pPr>
        <w:widowControl/>
        <w:wordWrap w:val="0"/>
        <w:topLinePunct/>
        <w:ind w:left="0" w:leftChars="0" w:firstLine="444" w:firstLineChars="200"/>
        <w:rPr>
          <w:bCs/>
          <w:szCs w:val="21"/>
        </w:rPr>
      </w:pPr>
      <w:r>
        <w:rPr>
          <w:rFonts w:hint="eastAsia"/>
          <w:bCs/>
          <w:szCs w:val="21"/>
        </w:rPr>
        <w:t>坚持创新驱动发展，加快大数据部署，深化大数据应用，已成为稳增长、促改革的内在需求</w:t>
      </w:r>
      <w:r>
        <w:rPr>
          <w:bCs/>
          <w:szCs w:val="21"/>
        </w:rPr>
        <w:t>。</w:t>
      </w:r>
      <w:r>
        <w:rPr>
          <w:rFonts w:hint="eastAsia"/>
          <w:bCs/>
          <w:szCs w:val="21"/>
        </w:rPr>
        <w:t>2015年国务院印发的《促进大数据发展行动纲要》明确指出“数据已成为国家基础性战略资源”。为贯彻落实《促进大数据发展行动纲要》要求，同年9月，</w:t>
      </w:r>
      <w:r>
        <w:rPr>
          <w:bCs/>
          <w:szCs w:val="21"/>
        </w:rPr>
        <w:t>贵州启动</w:t>
      </w:r>
      <w:r>
        <w:rPr>
          <w:rFonts w:hint="eastAsia"/>
          <w:bCs/>
          <w:szCs w:val="21"/>
          <w:lang w:val="en-US" w:eastAsia="zh-CN"/>
        </w:rPr>
        <w:t>首个</w:t>
      </w:r>
      <w:r>
        <w:rPr>
          <w:rFonts w:hint="eastAsia"/>
          <w:bCs/>
          <w:szCs w:val="21"/>
        </w:rPr>
        <w:t>大数据试验区</w:t>
      </w:r>
      <w:r>
        <w:rPr>
          <w:rFonts w:hint="eastAsia"/>
          <w:bCs/>
          <w:szCs w:val="21"/>
          <w:lang w:val="en-US" w:eastAsia="zh-CN"/>
        </w:rPr>
        <w:t>的建设</w:t>
      </w:r>
      <w:r>
        <w:rPr>
          <w:rFonts w:hint="eastAsia"/>
          <w:bCs/>
          <w:szCs w:val="21"/>
        </w:rPr>
        <w:t>。2016年国家设立第二批大数据试验区，包括京津冀、珠江三角洲、上海、河南、重庆、沈阳、内蒙古。总体看，八大国家级大数据试验区广泛覆盖西南、华东、华中、东北以及华南等板块，搭建起中国大数据发展的“立体框架”。</w:t>
      </w:r>
    </w:p>
    <w:p w14:paraId="7B95956C">
      <w:pPr>
        <w:widowControl/>
        <w:wordWrap w:val="0"/>
        <w:topLinePunct/>
        <w:ind w:firstLine="446"/>
        <w:rPr>
          <w:bCs/>
          <w:szCs w:val="21"/>
        </w:rPr>
      </w:pPr>
      <w:r>
        <w:rPr>
          <w:bCs/>
          <w:szCs w:val="21"/>
        </w:rPr>
        <w:t>经过几年的不懈探索</w:t>
      </w:r>
      <w:r>
        <w:rPr>
          <w:rFonts w:hint="eastAsia"/>
          <w:bCs/>
          <w:szCs w:val="21"/>
        </w:rPr>
        <w:t>与努力</w:t>
      </w:r>
      <w:r>
        <w:rPr>
          <w:bCs/>
          <w:szCs w:val="21"/>
        </w:rPr>
        <w:t>，大数据试验区建设</w:t>
      </w:r>
      <w:r>
        <w:rPr>
          <w:rFonts w:hint="eastAsia"/>
          <w:bCs/>
          <w:szCs w:val="21"/>
        </w:rPr>
        <w:t>成效</w:t>
      </w:r>
      <w:r>
        <w:rPr>
          <w:bCs/>
          <w:szCs w:val="21"/>
        </w:rPr>
        <w:t>显著。</w:t>
      </w:r>
      <w:r>
        <w:rPr>
          <w:rFonts w:hint="eastAsia"/>
          <w:bCs/>
          <w:szCs w:val="21"/>
        </w:rPr>
        <w:t>以大数据试验区（贵州）为例，近年来贵州聚焦算力、赋能、产业三个关键，抢占智算、行业大模型培育、数据训练“三个制高点”，发展成效显著。</w:t>
      </w:r>
      <w:r>
        <w:rPr>
          <w:bCs/>
          <w:szCs w:val="21"/>
        </w:rPr>
        <w:t>截至2023年底，</w:t>
      </w:r>
      <w:r>
        <w:rPr>
          <w:rFonts w:hint="eastAsia"/>
          <w:bCs/>
          <w:szCs w:val="21"/>
        </w:rPr>
        <w:t>贵州数据经济增加值占GDP的比重达到42%，省内</w:t>
      </w:r>
      <w:r>
        <w:rPr>
          <w:bCs/>
          <w:szCs w:val="21"/>
        </w:rPr>
        <w:t>在建和运营重点数据中心47个，其中大型以上25个，聚集了三大运营商及华为、腾讯和苹果等数据中心。</w:t>
      </w:r>
      <w:r>
        <w:rPr>
          <w:rFonts w:hint="eastAsia"/>
          <w:bCs/>
          <w:szCs w:val="21"/>
        </w:rPr>
        <w:t>此外，贵阳大数据交易所集聚的数据商和第三方服务机构更是超1000家，累计交易额超49亿元</w:t>
      </w:r>
      <w:r>
        <w:rPr>
          <w:rStyle w:val="28"/>
          <w:rFonts w:hint="eastAsia"/>
          <w:bCs/>
          <w:szCs w:val="21"/>
        </w:rPr>
        <w:footnoteReference w:id="0"/>
      </w:r>
      <w:r>
        <w:rPr>
          <w:rFonts w:hint="eastAsia"/>
          <w:bCs/>
          <w:szCs w:val="21"/>
        </w:rPr>
        <w:t>，显著促进了数据要素资源的集聚与发展。进一步地，通过对比大数据试验区和非试验区城市的科产融合均值差异发现</w:t>
      </w:r>
      <w:r>
        <w:rPr>
          <w:rStyle w:val="28"/>
          <w:rFonts w:hint="eastAsia"/>
          <w:bCs/>
          <w:szCs w:val="21"/>
        </w:rPr>
        <w:footnoteReference w:id="1"/>
      </w:r>
      <w:r>
        <w:rPr>
          <w:rFonts w:hint="eastAsia"/>
          <w:bCs/>
          <w:szCs w:val="21"/>
        </w:rPr>
        <w:t>（图</w:t>
      </w:r>
      <w:r>
        <w:rPr>
          <w:rFonts w:hint="eastAsia"/>
          <w:bCs/>
          <w:szCs w:val="21"/>
          <w:lang w:val="en-US" w:eastAsia="zh-CN"/>
        </w:rPr>
        <w:t>A</w:t>
      </w:r>
      <w:r>
        <w:rPr>
          <w:rFonts w:hint="eastAsia"/>
          <w:bCs/>
          <w:szCs w:val="21"/>
        </w:rPr>
        <w:t>1），在2015年之前，二者的科产融合水平保持相对一致的演进态势，但在2015年之后，两者间的差距逐渐拉大。这初步表明，大数据试验区设立与科产融合存在一定程度上的关联性，但二者之间</w:t>
      </w:r>
      <w:r>
        <w:rPr>
          <w:bCs/>
          <w:szCs w:val="21"/>
        </w:rPr>
        <w:t>是否</w:t>
      </w:r>
      <w:r>
        <w:rPr>
          <w:rFonts w:hint="eastAsia"/>
          <w:bCs/>
          <w:szCs w:val="21"/>
        </w:rPr>
        <w:t>存在</w:t>
      </w:r>
      <w:r>
        <w:rPr>
          <w:bCs/>
          <w:szCs w:val="21"/>
        </w:rPr>
        <w:t>因果</w:t>
      </w:r>
      <w:r>
        <w:rPr>
          <w:rFonts w:hint="eastAsia"/>
          <w:bCs/>
          <w:szCs w:val="21"/>
        </w:rPr>
        <w:t>关系</w:t>
      </w:r>
      <w:r>
        <w:rPr>
          <w:bCs/>
          <w:szCs w:val="21"/>
        </w:rPr>
        <w:t>，</w:t>
      </w:r>
      <w:r>
        <w:rPr>
          <w:rFonts w:hint="eastAsia"/>
          <w:bCs/>
          <w:szCs w:val="21"/>
        </w:rPr>
        <w:t>仍</w:t>
      </w:r>
      <w:r>
        <w:rPr>
          <w:bCs/>
          <w:szCs w:val="21"/>
        </w:rPr>
        <w:t>有待</w:t>
      </w:r>
      <w:r>
        <w:rPr>
          <w:rFonts w:hint="eastAsia"/>
          <w:bCs/>
          <w:szCs w:val="21"/>
        </w:rPr>
        <w:t>实证</w:t>
      </w:r>
      <w:r>
        <w:rPr>
          <w:bCs/>
          <w:szCs w:val="21"/>
        </w:rPr>
        <w:t>检验。</w:t>
      </w: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28"/>
      </w:tblGrid>
      <w:tr w14:paraId="6A58B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8" w:hRule="atLeast"/>
          <w:jc w:val="center"/>
        </w:trPr>
        <w:tc>
          <w:tcPr>
            <w:tcW w:w="8128" w:type="dxa"/>
          </w:tcPr>
          <w:p w14:paraId="34924473">
            <w:pPr>
              <w:pStyle w:val="17"/>
              <w:wordWrap w:val="0"/>
              <w:topLinePunct/>
              <w:spacing w:before="0" w:beforeAutospacing="0" w:after="0" w:afterAutospacing="0" w:line="240" w:lineRule="atLeast"/>
              <w:ind w:firstLineChars="0"/>
              <w:jc w:val="center"/>
              <w:rPr>
                <w:rFonts w:ascii="Times New Roman" w:hAnsi="Times New Roman"/>
                <w:bCs/>
                <w:kern w:val="2"/>
              </w:rPr>
            </w:pPr>
            <w:r>
              <w:rPr>
                <w:rStyle w:val="58"/>
                <w:rFonts w:hint="eastAsia" w:eastAsia="黑体" w:asciiTheme="minorHAnsi" w:hAnsiTheme="minorHAnsi" w:cstheme="minorBidi"/>
                <w:color w:val="auto"/>
                <w:kern w:val="2"/>
              </w:rPr>
              <mc:AlternateContent>
                <mc:Choice Requires="wps">
                  <w:drawing>
                    <wp:anchor distT="0" distB="0" distL="114300" distR="114300" simplePos="0" relativeHeight="251660288" behindDoc="0" locked="0" layoutInCell="1" allowOverlap="1">
                      <wp:simplePos x="0" y="0"/>
                      <wp:positionH relativeFrom="column">
                        <wp:posOffset>2132330</wp:posOffset>
                      </wp:positionH>
                      <wp:positionV relativeFrom="paragraph">
                        <wp:posOffset>127000</wp:posOffset>
                      </wp:positionV>
                      <wp:extent cx="11430" cy="1765300"/>
                      <wp:effectExtent l="4445" t="0" r="9525" b="0"/>
                      <wp:wrapNone/>
                      <wp:docPr id="4" name="直接连接符 4"/>
                      <wp:cNvGraphicFramePr/>
                      <a:graphic xmlns:a="http://schemas.openxmlformats.org/drawingml/2006/main">
                        <a:graphicData uri="http://schemas.microsoft.com/office/word/2010/wordprocessingShape">
                          <wps:wsp>
                            <wps:cNvCnPr/>
                            <wps:spPr>
                              <a:xfrm>
                                <a:off x="3501390" y="5288915"/>
                                <a:ext cx="11430" cy="176530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7.9pt;margin-top:10pt;height:139pt;width:0.9pt;z-index:251660288;mso-width-relative:page;mso-height-relative:page;" filled="f" stroked="t" coordsize="21600,21600" o:gfxdata="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IaZC/XAAAACgEAAA8AAAAAAAAAAQAgAAAAIgAAAGRycy9kb3ducmV2LnhtbFBLAQIU&#10;ABQAAAAIAIdO4kB9rWbo9AEAAMEDAAAOAAAAAAAAAAEAIAAAACYBAABkcnMvZTJvRG9jLnhtbFBL&#10;BQYAAAAABgAGAFkBAACMBQAAAAA=&#10;">
                      <v:fill on="f" focussize="0,0"/>
                      <v:stroke weight="0.5pt" color="#000000 [3213]" miterlimit="8" joinstyle="miter"/>
                      <v:imagedata o:title=""/>
                      <o:lock v:ext="edit" aspectratio="f"/>
                    </v:line>
                  </w:pict>
                </mc:Fallback>
              </mc:AlternateContent>
            </w:r>
            <w:r>
              <w:rPr>
                <w:rStyle w:val="58"/>
                <w:rFonts w:hint="eastAsia" w:eastAsia="黑体" w:asciiTheme="minorHAnsi" w:hAnsiTheme="minorHAnsi" w:cstheme="minorBidi"/>
                <w:color w:val="auto"/>
                <w:kern w:val="2"/>
              </w:rPr>
              <w:drawing>
                <wp:anchor distT="0" distB="0" distL="114300" distR="114300" simplePos="0" relativeHeight="251659264" behindDoc="0" locked="0" layoutInCell="1" allowOverlap="1">
                  <wp:simplePos x="0" y="0"/>
                  <wp:positionH relativeFrom="column">
                    <wp:posOffset>219075</wp:posOffset>
                  </wp:positionH>
                  <wp:positionV relativeFrom="paragraph">
                    <wp:posOffset>19050</wp:posOffset>
                  </wp:positionV>
                  <wp:extent cx="4356100" cy="2298700"/>
                  <wp:effectExtent l="0" t="0" r="0" b="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Style w:val="58"/>
                <w:rFonts w:hint="eastAsia" w:eastAsia="黑体" w:asciiTheme="minorHAnsi" w:hAnsiTheme="minorHAnsi" w:cstheme="minorBidi"/>
                <w:color w:val="auto"/>
                <w:kern w:val="2"/>
              </w:rPr>
              <w:t>图</w:t>
            </w:r>
            <w:r>
              <w:rPr>
                <w:rStyle w:val="58"/>
                <w:rFonts w:ascii="Times New Roman" w:hAnsi="Times New Roman" w:eastAsia="黑体" w:cs="Times New Roman"/>
                <w:color w:val="auto"/>
                <w:kern w:val="2"/>
              </w:rPr>
              <w:t>A1</w:t>
            </w:r>
            <w:r>
              <w:rPr>
                <w:rStyle w:val="58"/>
                <w:rFonts w:hint="eastAsia" w:eastAsia="黑体" w:asciiTheme="minorHAnsi" w:hAnsiTheme="minorHAnsi" w:cstheme="minorBidi"/>
                <w:color w:val="auto"/>
                <w:kern w:val="2"/>
              </w:rPr>
              <w:t xml:space="preserve"> 大数据试验区和非试验区城市的科产融合均值差异</w:t>
            </w:r>
          </w:p>
        </w:tc>
      </w:tr>
    </w:tbl>
    <w:p w14:paraId="75FE0472">
      <w:pPr>
        <w:ind w:left="0" w:leftChars="0" w:firstLine="0" w:firstLineChars="0"/>
        <w:rPr>
          <w:rFonts w:ascii="仿宋" w:hAnsi="仿宋" w:eastAsia="仿宋"/>
          <w:b/>
          <w:kern w:val="0"/>
          <w:sz w:val="28"/>
          <w:szCs w:val="28"/>
        </w:rPr>
      </w:pPr>
      <w:r>
        <w:rPr>
          <w:rFonts w:ascii="仿宋" w:hAnsi="仿宋" w:eastAsia="仿宋"/>
          <w:b/>
          <w:kern w:val="0"/>
          <w:sz w:val="28"/>
          <w:szCs w:val="28"/>
        </w:rPr>
        <w:br w:type="page"/>
      </w:r>
    </w:p>
    <w:p w14:paraId="69A9162C">
      <w:pPr>
        <w:ind w:firstLine="0" w:firstLineChars="0"/>
        <w:jc w:val="center"/>
        <w:outlineLvl w:val="0"/>
        <w:rPr>
          <w:rFonts w:hint="eastAsia" w:ascii="方正黑体_GBK" w:hAnsi="黑体" w:eastAsia="方正黑体_GBK" w:cs="黑体"/>
          <w:sz w:val="28"/>
          <w:szCs w:val="28"/>
        </w:rPr>
      </w:pPr>
      <w:r>
        <w:rPr>
          <w:rFonts w:ascii="仿宋" w:hAnsi="仿宋" w:eastAsia="仿宋"/>
          <w:b/>
          <w:kern w:val="0"/>
          <w:sz w:val="28"/>
          <w:szCs w:val="28"/>
        </w:rPr>
        <w:t>附录</w:t>
      </w:r>
      <w:r>
        <w:rPr>
          <w:rFonts w:eastAsia="仿宋"/>
          <w:b/>
          <w:kern w:val="0"/>
          <w:sz w:val="28"/>
          <w:szCs w:val="28"/>
        </w:rPr>
        <w:t>2</w:t>
      </w:r>
      <w:r>
        <w:rPr>
          <w:rFonts w:hint="eastAsia" w:eastAsia="仿宋"/>
          <w:b/>
          <w:kern w:val="0"/>
          <w:sz w:val="28"/>
          <w:szCs w:val="28"/>
        </w:rPr>
        <w:t>.</w:t>
      </w:r>
      <w:r>
        <w:rPr>
          <w:rFonts w:hint="eastAsia" w:eastAsia="仿宋"/>
          <w:b/>
          <w:kern w:val="0"/>
          <w:sz w:val="28"/>
          <w:szCs w:val="28"/>
          <w:lang w:val="en-US" w:eastAsia="zh-CN"/>
        </w:rPr>
        <w:t xml:space="preserve"> </w:t>
      </w:r>
      <w:r>
        <w:rPr>
          <w:rFonts w:hint="eastAsia" w:ascii="仿宋" w:hAnsi="仿宋" w:eastAsia="仿宋"/>
          <w:b/>
          <w:kern w:val="0"/>
          <w:sz w:val="28"/>
          <w:szCs w:val="28"/>
        </w:rPr>
        <w:t>“纵横向”拉开档次法计算步骤</w:t>
      </w:r>
    </w:p>
    <w:p w14:paraId="15EAF10B">
      <w:pPr>
        <w:keepNext w:val="0"/>
        <w:keepLines w:val="0"/>
        <w:pageBreakBefore w:val="0"/>
        <w:widowControl w:val="0"/>
        <w:kinsoku/>
        <w:wordWrap/>
        <w:overflowPunct/>
        <w:topLinePunct w:val="0"/>
        <w:autoSpaceDE/>
        <w:autoSpaceDN/>
        <w:bidi w:val="0"/>
        <w:adjustRightInd/>
        <w:snapToGrid/>
        <w:spacing w:before="79" w:beforeLines="25" w:after="79" w:afterLines="25" w:line="440" w:lineRule="exact"/>
        <w:ind w:left="0" w:leftChars="0" w:firstLine="444" w:firstLineChars="200"/>
        <w:jc w:val="both"/>
        <w:textAlignment w:val="auto"/>
        <w:outlineLvl w:val="9"/>
        <w:rPr>
          <w:rFonts w:hint="eastAsia"/>
          <w:color w:val="000000" w:themeColor="text1"/>
          <w14:textFill>
            <w14:solidFill>
              <w14:schemeClr w14:val="tx1"/>
            </w14:solidFill>
          </w14:textFill>
        </w:rPr>
      </w:pPr>
      <w:r>
        <w:rPr>
          <w:color w:val="000000" w:themeColor="text1"/>
          <w14:textFill>
            <w14:solidFill>
              <w14:schemeClr w14:val="tx1"/>
            </w14:solidFill>
          </w14:textFill>
        </w:rPr>
        <w:t>①原始指</w:t>
      </w:r>
      <w:r>
        <w:rPr>
          <w:rFonts w:hint="eastAsia"/>
          <w:color w:val="000000" w:themeColor="text1"/>
          <w14:textFill>
            <w14:solidFill>
              <w14:schemeClr w14:val="tx1"/>
            </w14:solidFill>
          </w14:textFill>
        </w:rPr>
        <w:t>标数据的标准化：</w:t>
      </w:r>
    </w:p>
    <w:p w14:paraId="459B63AD">
      <w:pPr>
        <w:keepNext w:val="0"/>
        <w:keepLines w:val="0"/>
        <w:pageBreakBefore w:val="0"/>
        <w:widowControl w:val="0"/>
        <w:kinsoku/>
        <w:wordWrap/>
        <w:overflowPunct/>
        <w:topLinePunct w:val="0"/>
        <w:autoSpaceDE/>
        <w:autoSpaceDN/>
        <w:bidi w:val="0"/>
        <w:adjustRightInd/>
        <w:snapToGrid/>
        <w:spacing w:before="79" w:beforeLines="25" w:after="79" w:afterLines="25" w:line="240" w:lineRule="auto"/>
        <w:ind w:firstLine="1332" w:firstLineChars="600"/>
        <w:jc w:val="both"/>
        <w:textAlignment w:val="auto"/>
        <w:outlineLvl w:val="9"/>
        <w:rPr>
          <w:rFonts w:hint="default" w:ascii="Times New Roman" w:hAnsi="Times New Roman" w:cs="Times New Roman"/>
          <w:i w:val="0"/>
          <w:color w:val="auto"/>
          <w:sz w:val="21"/>
          <w:szCs w:val="21"/>
          <w:lang w:val="en-US" w:eastAsia="zh-CN"/>
        </w:rPr>
      </w:pPr>
      <m:oMath>
        <m:sSub>
          <m:sSubPr>
            <m:ctrlPr>
              <w:rPr>
                <w:rFonts w:ascii="Cambria Math" w:hAnsi="Cambria Math" w:cs="Times New Roman"/>
                <w:i/>
                <w:iCs w:val="0"/>
                <w:color w:val="auto"/>
                <w:sz w:val="21"/>
                <w:szCs w:val="21"/>
              </w:rPr>
            </m:ctrlPr>
          </m:sSubPr>
          <m:e>
            <m:r>
              <m:rPr/>
              <w:rPr>
                <w:rFonts w:hint="default" w:ascii="Cambria Math" w:hAnsi="Cambria Math" w:cs="Times New Roman"/>
                <w:color w:val="auto"/>
                <w:sz w:val="21"/>
                <w:szCs w:val="21"/>
              </w:rPr>
              <m:t>X</m:t>
            </m:r>
            <m:ctrlPr>
              <w:rPr>
                <w:rFonts w:ascii="Cambria Math" w:hAnsi="Cambria Math" w:cs="Times New Roman"/>
                <w:i/>
                <w:iCs w:val="0"/>
                <w:color w:val="auto"/>
                <w:sz w:val="21"/>
                <w:szCs w:val="21"/>
              </w:rPr>
            </m:ctrlPr>
          </m:e>
          <m:sub>
            <m:r>
              <m:rPr/>
              <w:rPr>
                <w:rFonts w:hint="default" w:ascii="Cambria Math" w:hAnsi="Cambria Math" w:cs="Times New Roman"/>
                <w:color w:val="auto"/>
                <w:sz w:val="21"/>
                <w:szCs w:val="21"/>
              </w:rPr>
              <m:t>ij</m:t>
            </m:r>
            <m:ctrlPr>
              <w:rPr>
                <w:rFonts w:ascii="Cambria Math" w:hAnsi="Cambria Math" w:cs="Times New Roman"/>
                <w:i/>
                <w:iCs w:val="0"/>
                <w:color w:val="auto"/>
                <w:sz w:val="21"/>
                <w:szCs w:val="21"/>
              </w:rPr>
            </m:ctrlPr>
          </m:sub>
        </m:sSub>
        <m:d>
          <m:dPr>
            <m:ctrlPr>
              <w:rPr>
                <w:rFonts w:ascii="Cambria Math" w:hAnsi="Cambria Math" w:cs="Times New Roman"/>
                <w:i/>
                <w:iCs w:val="0"/>
                <w:color w:val="auto"/>
                <w:sz w:val="21"/>
                <w:szCs w:val="21"/>
              </w:rPr>
            </m:ctrlPr>
          </m:dPr>
          <m:e>
            <m:r>
              <m:rPr/>
              <w:rPr>
                <w:rFonts w:hint="default" w:ascii="Cambria Math" w:hAnsi="Cambria Math" w:cs="Times New Roman"/>
                <w:color w:val="auto"/>
                <w:sz w:val="21"/>
                <w:szCs w:val="21"/>
              </w:rPr>
              <m:t>t</m:t>
            </m:r>
            <m:ctrlPr>
              <w:rPr>
                <w:rFonts w:ascii="Cambria Math" w:hAnsi="Cambria Math" w:cs="Times New Roman"/>
                <w:i/>
                <w:iCs w:val="0"/>
                <w:color w:val="auto"/>
                <w:sz w:val="21"/>
                <w:szCs w:val="21"/>
              </w:rPr>
            </m:ctrlPr>
          </m:e>
        </m:d>
        <m:r>
          <m:rPr/>
          <w:rPr>
            <w:rFonts w:ascii="Cambria Math" w:hAnsi="Cambria Math" w:cs="Times New Roman"/>
            <w:color w:val="auto"/>
            <w:sz w:val="21"/>
            <w:szCs w:val="21"/>
          </w:rPr>
          <m:t>=</m:t>
        </m:r>
        <m:f>
          <m:fPr>
            <m:ctrlPr>
              <w:rPr>
                <w:rFonts w:ascii="Cambria Math" w:hAnsi="Cambria Math" w:cs="Times New Roman"/>
                <w:i/>
                <w:iCs w:val="0"/>
                <w:color w:val="auto"/>
                <w:sz w:val="21"/>
                <w:szCs w:val="21"/>
              </w:rPr>
            </m:ctrlPr>
          </m:fPr>
          <m:num>
            <m:sSub>
              <m:sSubPr>
                <m:ctrlPr>
                  <w:rPr>
                    <w:rFonts w:ascii="Cambria Math" w:hAnsi="Cambria Math" w:cs="Times New Roman"/>
                    <w:i/>
                    <w:iCs w:val="0"/>
                    <w:color w:val="auto"/>
                    <w:sz w:val="21"/>
                    <w:szCs w:val="21"/>
                  </w:rPr>
                </m:ctrlPr>
              </m:sSubPr>
              <m:e>
                <m:r>
                  <m:rPr/>
                  <w:rPr>
                    <w:rFonts w:hint="default" w:ascii="Cambria Math" w:hAnsi="Cambria Math" w:cs="Times New Roman"/>
                    <w:color w:val="auto"/>
                    <w:sz w:val="21"/>
                    <w:szCs w:val="21"/>
                  </w:rPr>
                  <m:t>X</m:t>
                </m:r>
                <m:ctrlPr>
                  <w:rPr>
                    <w:rFonts w:ascii="Cambria Math" w:hAnsi="Cambria Math" w:cs="Times New Roman"/>
                    <w:i/>
                    <w:iCs w:val="0"/>
                    <w:color w:val="auto"/>
                    <w:sz w:val="21"/>
                    <w:szCs w:val="21"/>
                  </w:rPr>
                </m:ctrlPr>
              </m:e>
              <m:sub>
                <m:r>
                  <m:rPr/>
                  <w:rPr>
                    <w:rFonts w:hint="default" w:ascii="Cambria Math" w:hAnsi="Cambria Math" w:cs="Times New Roman"/>
                    <w:color w:val="auto"/>
                    <w:sz w:val="21"/>
                    <w:szCs w:val="21"/>
                  </w:rPr>
                  <m:t>ij</m:t>
                </m:r>
                <m:ctrlPr>
                  <w:rPr>
                    <w:rFonts w:ascii="Cambria Math" w:hAnsi="Cambria Math" w:cs="Times New Roman"/>
                    <w:i/>
                    <w:iCs w:val="0"/>
                    <w:color w:val="auto"/>
                    <w:sz w:val="21"/>
                    <w:szCs w:val="21"/>
                  </w:rPr>
                </m:ctrlPr>
              </m:sub>
            </m:sSub>
            <m:d>
              <m:dPr>
                <m:ctrlPr>
                  <w:rPr>
                    <w:rFonts w:ascii="Cambria Math" w:hAnsi="Cambria Math" w:cs="Times New Roman"/>
                    <w:i/>
                    <w:iCs w:val="0"/>
                    <w:color w:val="auto"/>
                    <w:sz w:val="21"/>
                    <w:szCs w:val="21"/>
                  </w:rPr>
                </m:ctrlPr>
              </m:dPr>
              <m:e>
                <m:r>
                  <m:rPr/>
                  <w:rPr>
                    <w:rFonts w:hint="default" w:ascii="Cambria Math" w:hAnsi="Cambria Math" w:cs="Times New Roman"/>
                    <w:color w:val="auto"/>
                    <w:sz w:val="21"/>
                    <w:szCs w:val="21"/>
                  </w:rPr>
                  <m:t>t</m:t>
                </m:r>
                <m:ctrlPr>
                  <w:rPr>
                    <w:rFonts w:ascii="Cambria Math" w:hAnsi="Cambria Math" w:cs="Times New Roman"/>
                    <w:i/>
                    <w:iCs w:val="0"/>
                    <w:color w:val="auto"/>
                    <w:sz w:val="21"/>
                    <w:szCs w:val="21"/>
                  </w:rPr>
                </m:ctrlPr>
              </m:e>
            </m:d>
            <m:r>
              <m:rPr/>
              <w:rPr>
                <w:rFonts w:ascii="Cambria Math" w:hAnsi="Cambria Math" w:cs="Times New Roman"/>
                <w:color w:val="auto"/>
                <w:sz w:val="21"/>
                <w:szCs w:val="21"/>
              </w:rPr>
              <m:t>−</m:t>
            </m:r>
            <m:r>
              <m:rPr/>
              <w:rPr>
                <w:rFonts w:hint="default" w:ascii="Cambria Math" w:hAnsi="Cambria Math" w:cs="Times New Roman"/>
                <w:color w:val="auto"/>
                <w:sz w:val="21"/>
                <w:szCs w:val="21"/>
              </w:rPr>
              <m:t>min</m:t>
            </m:r>
            <m:r>
              <m:rPr/>
              <w:rPr>
                <w:rFonts w:ascii="Cambria Math" w:hAnsi="Cambria Math" w:cs="Times New Roman"/>
                <w:color w:val="auto"/>
                <w:sz w:val="21"/>
                <w:szCs w:val="21"/>
              </w:rPr>
              <m:t>[</m:t>
            </m:r>
            <m:sSub>
              <m:sSubPr>
                <m:ctrlPr>
                  <w:rPr>
                    <w:rFonts w:ascii="Cambria Math" w:hAnsi="Cambria Math" w:cs="Times New Roman"/>
                    <w:i/>
                    <w:iCs w:val="0"/>
                    <w:color w:val="auto"/>
                    <w:sz w:val="21"/>
                    <w:szCs w:val="21"/>
                  </w:rPr>
                </m:ctrlPr>
              </m:sSubPr>
              <m:e>
                <m:r>
                  <m:rPr/>
                  <w:rPr>
                    <w:rFonts w:hint="default" w:ascii="Cambria Math" w:hAnsi="Cambria Math" w:cs="Times New Roman"/>
                    <w:color w:val="auto"/>
                    <w:sz w:val="21"/>
                    <w:szCs w:val="21"/>
                  </w:rPr>
                  <m:t>X</m:t>
                </m:r>
                <m:ctrlPr>
                  <w:rPr>
                    <w:rFonts w:ascii="Cambria Math" w:hAnsi="Cambria Math" w:cs="Times New Roman"/>
                    <w:i/>
                    <w:iCs w:val="0"/>
                    <w:color w:val="auto"/>
                    <w:sz w:val="21"/>
                    <w:szCs w:val="21"/>
                  </w:rPr>
                </m:ctrlPr>
              </m:e>
              <m:sub>
                <m:r>
                  <m:rPr/>
                  <w:rPr>
                    <w:rFonts w:hint="default" w:ascii="Cambria Math" w:hAnsi="Cambria Math" w:cs="Times New Roman"/>
                    <w:color w:val="auto"/>
                    <w:sz w:val="21"/>
                    <w:szCs w:val="21"/>
                  </w:rPr>
                  <m:t>ij</m:t>
                </m:r>
                <m:ctrlPr>
                  <w:rPr>
                    <w:rFonts w:ascii="Cambria Math" w:hAnsi="Cambria Math" w:cs="Times New Roman"/>
                    <w:i/>
                    <w:iCs w:val="0"/>
                    <w:color w:val="auto"/>
                    <w:sz w:val="21"/>
                    <w:szCs w:val="21"/>
                  </w:rPr>
                </m:ctrlPr>
              </m:sub>
            </m:sSub>
            <m:r>
              <m:rPr/>
              <w:rPr>
                <w:rFonts w:hint="default" w:ascii="Cambria Math" w:hAnsi="Cambria Math" w:cs="Times New Roman"/>
                <w:color w:val="auto"/>
                <w:sz w:val="21"/>
                <w:szCs w:val="21"/>
              </w:rPr>
              <m:t>(t)]</m:t>
            </m:r>
            <m:ctrlPr>
              <w:rPr>
                <w:rFonts w:ascii="Cambria Math" w:hAnsi="Cambria Math" w:cs="Times New Roman"/>
                <w:i/>
                <w:iCs w:val="0"/>
                <w:color w:val="auto"/>
                <w:sz w:val="21"/>
                <w:szCs w:val="21"/>
              </w:rPr>
            </m:ctrlPr>
          </m:num>
          <m:den>
            <m:func>
              <m:funcPr>
                <m:ctrlPr>
                  <w:rPr>
                    <w:rFonts w:hint="default" w:ascii="Cambria Math" w:hAnsi="Cambria Math" w:cs="Times New Roman"/>
                    <w:i/>
                    <w:iCs w:val="0"/>
                    <w:color w:val="auto"/>
                    <w:sz w:val="21"/>
                    <w:szCs w:val="21"/>
                  </w:rPr>
                </m:ctrlPr>
              </m:funcPr>
              <m:fName>
                <m:r>
                  <m:rPr/>
                  <w:rPr>
                    <w:rFonts w:hint="default" w:ascii="Cambria Math" w:hAnsi="Cambria Math" w:cs="Times New Roman"/>
                    <w:color w:val="auto"/>
                    <w:sz w:val="21"/>
                    <w:szCs w:val="21"/>
                  </w:rPr>
                  <m:t>max</m:t>
                </m:r>
                <m:ctrlPr>
                  <w:rPr>
                    <w:rFonts w:hint="default" w:ascii="Cambria Math" w:hAnsi="Cambria Math" w:cs="Times New Roman"/>
                    <w:i/>
                    <w:iCs w:val="0"/>
                    <w:color w:val="auto"/>
                    <w:sz w:val="21"/>
                    <w:szCs w:val="21"/>
                  </w:rPr>
                </m:ctrlPr>
              </m:fName>
              <m:e>
                <m:d>
                  <m:dPr>
                    <m:begChr m:val="["/>
                    <m:endChr m:val="]"/>
                    <m:ctrlPr>
                      <w:rPr>
                        <w:rFonts w:hint="default" w:ascii="Cambria Math" w:hAnsi="Cambria Math" w:cs="Times New Roman"/>
                        <w:i/>
                        <w:iCs w:val="0"/>
                        <w:color w:val="auto"/>
                        <w:sz w:val="21"/>
                        <w:szCs w:val="21"/>
                      </w:rPr>
                    </m:ctrlPr>
                  </m:dPr>
                  <m:e>
                    <m:sSub>
                      <m:sSubPr>
                        <m:ctrlPr>
                          <w:rPr>
                            <w:rFonts w:hint="default" w:ascii="Cambria Math" w:hAnsi="Cambria Math" w:cs="Times New Roman"/>
                            <w:i/>
                            <w:iCs w:val="0"/>
                            <w:color w:val="auto"/>
                            <w:sz w:val="21"/>
                            <w:szCs w:val="21"/>
                          </w:rPr>
                        </m:ctrlPr>
                      </m:sSubPr>
                      <m:e>
                        <m:r>
                          <m:rPr/>
                          <w:rPr>
                            <w:rFonts w:hint="default" w:ascii="Cambria Math" w:hAnsi="Cambria Math" w:cs="Times New Roman"/>
                            <w:color w:val="auto"/>
                            <w:sz w:val="21"/>
                            <w:szCs w:val="21"/>
                          </w:rPr>
                          <m:t>X</m:t>
                        </m:r>
                        <m:ctrlPr>
                          <w:rPr>
                            <w:rFonts w:hint="default" w:ascii="Cambria Math" w:hAnsi="Cambria Math" w:cs="Times New Roman"/>
                            <w:i/>
                            <w:iCs w:val="0"/>
                            <w:color w:val="auto"/>
                            <w:sz w:val="21"/>
                            <w:szCs w:val="21"/>
                          </w:rPr>
                        </m:ctrlPr>
                      </m:e>
                      <m:sub>
                        <m:r>
                          <m:rPr/>
                          <w:rPr>
                            <w:rFonts w:hint="default" w:ascii="Cambria Math" w:hAnsi="Cambria Math" w:cs="Times New Roman"/>
                            <w:color w:val="auto"/>
                            <w:sz w:val="21"/>
                            <w:szCs w:val="21"/>
                          </w:rPr>
                          <m:t>ij</m:t>
                        </m:r>
                        <m:ctrlPr>
                          <w:rPr>
                            <w:rFonts w:hint="default" w:ascii="Cambria Math" w:hAnsi="Cambria Math" w:cs="Times New Roman"/>
                            <w:i/>
                            <w:iCs w:val="0"/>
                            <w:color w:val="auto"/>
                            <w:sz w:val="21"/>
                            <w:szCs w:val="21"/>
                          </w:rPr>
                        </m:ctrlPr>
                      </m:sub>
                    </m:sSub>
                    <m:d>
                      <m:dPr>
                        <m:ctrlPr>
                          <w:rPr>
                            <w:rFonts w:hint="default" w:ascii="Cambria Math" w:hAnsi="Cambria Math" w:cs="Times New Roman"/>
                            <w:i/>
                            <w:iCs w:val="0"/>
                            <w:color w:val="auto"/>
                            <w:sz w:val="21"/>
                            <w:szCs w:val="21"/>
                          </w:rPr>
                        </m:ctrlPr>
                      </m:dPr>
                      <m:e>
                        <m:r>
                          <m:rPr/>
                          <w:rPr>
                            <w:rFonts w:hint="default" w:ascii="Cambria Math" w:hAnsi="Cambria Math" w:cs="Times New Roman"/>
                            <w:color w:val="auto"/>
                            <w:sz w:val="21"/>
                            <w:szCs w:val="21"/>
                          </w:rPr>
                          <m:t>t</m:t>
                        </m:r>
                        <m:ctrlPr>
                          <w:rPr>
                            <w:rFonts w:hint="default" w:ascii="Cambria Math" w:hAnsi="Cambria Math" w:cs="Times New Roman"/>
                            <w:i/>
                            <w:iCs w:val="0"/>
                            <w:color w:val="auto"/>
                            <w:sz w:val="21"/>
                            <w:szCs w:val="21"/>
                          </w:rPr>
                        </m:ctrlPr>
                      </m:e>
                    </m:d>
                    <m:ctrlPr>
                      <w:rPr>
                        <w:rFonts w:hint="default" w:ascii="Cambria Math" w:hAnsi="Cambria Math" w:cs="Times New Roman"/>
                        <w:i/>
                        <w:iCs w:val="0"/>
                        <w:color w:val="auto"/>
                        <w:sz w:val="21"/>
                        <w:szCs w:val="21"/>
                      </w:rPr>
                    </m:ctrlPr>
                  </m:e>
                </m:d>
                <m:ctrlPr>
                  <w:rPr>
                    <w:rFonts w:hint="default" w:ascii="Cambria Math" w:hAnsi="Cambria Math" w:cs="Times New Roman"/>
                    <w:i/>
                    <w:iCs w:val="0"/>
                    <w:color w:val="auto"/>
                    <w:sz w:val="21"/>
                    <w:szCs w:val="21"/>
                  </w:rPr>
                </m:ctrlPr>
              </m:e>
            </m:func>
            <m:r>
              <m:rPr/>
              <w:rPr>
                <w:rFonts w:hint="default" w:ascii="Cambria Math" w:hAnsi="Cambria Math" w:cs="Times New Roman"/>
                <w:color w:val="auto"/>
                <w:sz w:val="21"/>
                <w:szCs w:val="21"/>
              </w:rPr>
              <m:t>−min[</m:t>
            </m:r>
            <m:sSub>
              <m:sSubPr>
                <m:ctrlPr>
                  <w:rPr>
                    <w:rFonts w:hint="default" w:ascii="Cambria Math" w:hAnsi="Cambria Math" w:cs="Times New Roman"/>
                    <w:i/>
                    <w:iCs w:val="0"/>
                    <w:color w:val="auto"/>
                    <w:sz w:val="21"/>
                    <w:szCs w:val="21"/>
                  </w:rPr>
                </m:ctrlPr>
              </m:sSubPr>
              <m:e>
                <m:r>
                  <m:rPr/>
                  <w:rPr>
                    <w:rFonts w:hint="default" w:ascii="Cambria Math" w:hAnsi="Cambria Math" w:cs="Times New Roman"/>
                    <w:color w:val="auto"/>
                    <w:sz w:val="21"/>
                    <w:szCs w:val="21"/>
                  </w:rPr>
                  <m:t>X</m:t>
                </m:r>
                <m:ctrlPr>
                  <w:rPr>
                    <w:rFonts w:hint="default" w:ascii="Cambria Math" w:hAnsi="Cambria Math" w:cs="Times New Roman"/>
                    <w:i/>
                    <w:iCs w:val="0"/>
                    <w:color w:val="auto"/>
                    <w:sz w:val="21"/>
                    <w:szCs w:val="21"/>
                  </w:rPr>
                </m:ctrlPr>
              </m:e>
              <m:sub>
                <m:r>
                  <m:rPr/>
                  <w:rPr>
                    <w:rFonts w:hint="default" w:ascii="Cambria Math" w:hAnsi="Cambria Math" w:cs="Times New Roman"/>
                    <w:color w:val="auto"/>
                    <w:sz w:val="21"/>
                    <w:szCs w:val="21"/>
                  </w:rPr>
                  <m:t>ij</m:t>
                </m:r>
                <m:ctrlPr>
                  <w:rPr>
                    <w:rFonts w:hint="default" w:ascii="Cambria Math" w:hAnsi="Cambria Math" w:cs="Times New Roman"/>
                    <w:i/>
                    <w:iCs w:val="0"/>
                    <w:color w:val="auto"/>
                    <w:sz w:val="21"/>
                    <w:szCs w:val="21"/>
                  </w:rPr>
                </m:ctrlPr>
              </m:sub>
            </m:sSub>
            <m:r>
              <m:rPr/>
              <w:rPr>
                <w:rFonts w:hint="default" w:ascii="Cambria Math" w:hAnsi="Cambria Math" w:cs="Times New Roman"/>
                <w:color w:val="auto"/>
                <w:sz w:val="21"/>
                <w:szCs w:val="21"/>
              </w:rPr>
              <m:t>(t)]</m:t>
            </m:r>
            <m:ctrlPr>
              <w:rPr>
                <w:rFonts w:ascii="Cambria Math" w:hAnsi="Cambria Math" w:cs="Times New Roman"/>
                <w:i/>
                <w:iCs w:val="0"/>
                <w:color w:val="auto"/>
                <w:sz w:val="21"/>
                <w:szCs w:val="21"/>
              </w:rPr>
            </m:ctrlPr>
          </m:den>
        </m:f>
      </m:oMath>
      <w:r>
        <w:rPr>
          <w:rFonts w:hint="eastAsia" w:hAnsi="Cambria Math" w:cs="Times New Roman"/>
          <w:i w:val="0"/>
          <w:color w:val="auto"/>
          <w:sz w:val="18"/>
          <w:szCs w:val="18"/>
          <w:lang w:val="en-US" w:eastAsia="zh-CN"/>
        </w:rPr>
        <w:t xml:space="preserve">       </w:t>
      </w:r>
      <w:r>
        <w:rPr>
          <w:rFonts w:hint="eastAsia" w:hAnsi="Cambria Math" w:cs="Times New Roman"/>
          <w:i w:val="0"/>
          <w:color w:val="auto"/>
          <w:sz w:val="21"/>
          <w:szCs w:val="21"/>
          <w:lang w:val="en-US" w:eastAsia="zh-CN"/>
        </w:rPr>
        <w:t xml:space="preserve">       （正向指标）  </w:t>
      </w:r>
      <w:r>
        <w:rPr>
          <w:rFonts w:hint="eastAsia" w:hAnsi="Cambria Math" w:cs="Times New Roman"/>
          <w:i w:val="0"/>
          <w:color w:val="auto"/>
          <w:sz w:val="18"/>
          <w:szCs w:val="18"/>
          <w:lang w:val="en-US" w:eastAsia="zh-CN"/>
        </w:rPr>
        <w:t xml:space="preserve">                      </w:t>
      </w:r>
      <w:r>
        <w:rPr>
          <w:rFonts w:hint="default" w:ascii="Times New Roman" w:hAnsi="Times New Roman" w:cs="Times New Roman"/>
          <w:i w:val="0"/>
          <w:color w:val="auto"/>
          <w:sz w:val="21"/>
          <w:szCs w:val="21"/>
          <w:lang w:val="en-US" w:eastAsia="zh-CN"/>
        </w:rPr>
        <w:t>（</w:t>
      </w:r>
      <w:r>
        <w:rPr>
          <w:rFonts w:hint="eastAsia"/>
          <w:color w:val="000000" w:themeColor="text1"/>
          <w14:textFill>
            <w14:solidFill>
              <w14:schemeClr w14:val="tx1"/>
            </w14:solidFill>
          </w14:textFill>
        </w:rPr>
        <w:t>A</w:t>
      </w:r>
      <w:r>
        <w:rPr>
          <w:rFonts w:hint="eastAsia"/>
          <w:color w:val="000000" w:themeColor="text1"/>
          <w:lang w:val="en-US" w:eastAsia="zh-CN"/>
          <w14:textFill>
            <w14:solidFill>
              <w14:schemeClr w14:val="tx1"/>
            </w14:solidFill>
          </w14:textFill>
        </w:rPr>
        <w:t>1</w:t>
      </w:r>
      <w:r>
        <w:rPr>
          <w:rFonts w:hint="default" w:ascii="Times New Roman" w:hAnsi="Times New Roman" w:cs="Times New Roman"/>
          <w:i w:val="0"/>
          <w:color w:val="auto"/>
          <w:sz w:val="21"/>
          <w:szCs w:val="21"/>
          <w:lang w:val="en-US" w:eastAsia="zh-CN"/>
        </w:rPr>
        <w:t>）</w:t>
      </w:r>
    </w:p>
    <w:p w14:paraId="6220D99B">
      <w:pPr>
        <w:keepNext w:val="0"/>
        <w:keepLines w:val="0"/>
        <w:pageBreakBefore w:val="0"/>
        <w:widowControl w:val="0"/>
        <w:kinsoku/>
        <w:wordWrap/>
        <w:overflowPunct/>
        <w:topLinePunct w:val="0"/>
        <w:autoSpaceDE/>
        <w:autoSpaceDN/>
        <w:bidi w:val="0"/>
        <w:adjustRightInd/>
        <w:snapToGrid/>
        <w:spacing w:before="79" w:beforeLines="25" w:after="79" w:afterLines="25" w:line="360" w:lineRule="auto"/>
        <w:ind w:firstLine="1332" w:firstLineChars="600"/>
        <w:jc w:val="both"/>
        <w:textAlignment w:val="auto"/>
        <w:rPr>
          <w:rFonts w:hint="eastAsia" w:hAnsi="Cambria Math" w:cs="Times New Roman"/>
          <w:i w:val="0"/>
          <w:color w:val="auto"/>
          <w:sz w:val="21"/>
          <w:szCs w:val="21"/>
          <w:lang w:val="en-US" w:eastAsia="zh-CN"/>
        </w:rPr>
      </w:pPr>
      <m:oMath>
        <m:sSub>
          <m:sSubPr>
            <m:ctrlPr>
              <w:rPr>
                <w:rFonts w:ascii="Cambria Math" w:hAnsi="Cambria Math" w:cs="Times New Roman"/>
                <w:i/>
                <w:color w:val="auto"/>
                <w:sz w:val="21"/>
                <w:szCs w:val="21"/>
              </w:rPr>
            </m:ctrlPr>
          </m:sSubPr>
          <m:e>
            <m:r>
              <m:rPr/>
              <w:rPr>
                <w:rFonts w:ascii="Cambria Math" w:hAnsi="Cambria Math" w:cs="Times New Roman"/>
                <w:color w:val="auto"/>
                <w:sz w:val="21"/>
                <w:szCs w:val="21"/>
              </w:rPr>
              <m:t>X</m:t>
            </m:r>
            <m:ctrlPr>
              <w:rPr>
                <w:rFonts w:ascii="Cambria Math" w:hAnsi="Cambria Math" w:cs="Times New Roman"/>
                <w:i/>
                <w:color w:val="auto"/>
                <w:sz w:val="21"/>
                <w:szCs w:val="21"/>
              </w:rPr>
            </m:ctrlPr>
          </m:e>
          <m:sub>
            <m:r>
              <m:rPr/>
              <w:rPr>
                <w:rFonts w:ascii="Cambria Math" w:hAnsi="Cambria Math" w:cs="Times New Roman"/>
                <w:color w:val="auto"/>
                <w:sz w:val="21"/>
                <w:szCs w:val="21"/>
              </w:rPr>
              <m:t>ij</m:t>
            </m:r>
            <m:ctrlPr>
              <w:rPr>
                <w:rFonts w:ascii="Cambria Math" w:hAnsi="Cambria Math" w:cs="Times New Roman"/>
                <w:i/>
                <w:color w:val="auto"/>
                <w:sz w:val="21"/>
                <w:szCs w:val="21"/>
              </w:rPr>
            </m:ctrlPr>
          </m:sub>
        </m:sSub>
        <m:d>
          <m:dPr>
            <m:ctrlPr>
              <w:rPr>
                <w:rFonts w:ascii="Cambria Math" w:hAnsi="Cambria Math" w:cs="Times New Roman"/>
                <w:i/>
                <w:color w:val="auto"/>
                <w:sz w:val="21"/>
                <w:szCs w:val="21"/>
              </w:rPr>
            </m:ctrlPr>
          </m:dPr>
          <m:e>
            <m:r>
              <m:rPr/>
              <w:rPr>
                <w:rFonts w:hint="eastAsia" w:ascii="Cambria Math" w:hAnsi="Cambria Math" w:cs="Times New Roman"/>
                <w:color w:val="auto"/>
                <w:sz w:val="21"/>
                <w:szCs w:val="21"/>
              </w:rPr>
              <m:t>t</m:t>
            </m:r>
            <m:ctrlPr>
              <w:rPr>
                <w:rFonts w:ascii="Cambria Math" w:hAnsi="Cambria Math" w:cs="Times New Roman"/>
                <w:i/>
                <w:color w:val="auto"/>
                <w:sz w:val="21"/>
                <w:szCs w:val="21"/>
              </w:rPr>
            </m:ctrlPr>
          </m:e>
        </m:d>
        <m:r>
          <m:rPr/>
          <w:rPr>
            <w:rFonts w:ascii="Cambria Math" w:hAnsi="Cambria Math" w:cs="Times New Roman"/>
            <w:color w:val="auto"/>
            <w:sz w:val="21"/>
            <w:szCs w:val="21"/>
          </w:rPr>
          <m:t>=</m:t>
        </m:r>
        <m:f>
          <m:fPr>
            <m:ctrlPr>
              <w:rPr>
                <w:rFonts w:ascii="Cambria Math" w:hAnsi="Cambria Math" w:cs="Times New Roman"/>
                <w:i/>
                <w:color w:val="auto"/>
                <w:sz w:val="21"/>
                <w:szCs w:val="21"/>
              </w:rPr>
            </m:ctrlPr>
          </m:fPr>
          <m:num>
            <m:func>
              <m:funcPr>
                <m:ctrlPr>
                  <w:rPr>
                    <w:rFonts w:ascii="Cambria Math" w:hAnsi="Cambria Math" w:cs="Times New Roman"/>
                    <w:color w:val="auto"/>
                    <w:sz w:val="21"/>
                    <w:szCs w:val="21"/>
                  </w:rPr>
                </m:ctrlPr>
              </m:funcPr>
              <m:fName>
                <m:r>
                  <m:rPr>
                    <m:sty m:val="p"/>
                  </m:rPr>
                  <w:rPr>
                    <w:rFonts w:ascii="Cambria Math" w:hAnsi="Cambria Math" w:cs="Times New Roman"/>
                    <w:color w:val="auto"/>
                    <w:sz w:val="21"/>
                    <w:szCs w:val="21"/>
                  </w:rPr>
                  <m:t>max</m:t>
                </m:r>
                <m:ctrlPr>
                  <w:rPr>
                    <w:rFonts w:ascii="Cambria Math" w:hAnsi="Cambria Math" w:cs="Times New Roman"/>
                    <w:color w:val="auto"/>
                    <w:sz w:val="21"/>
                    <w:szCs w:val="21"/>
                  </w:rPr>
                </m:ctrlPr>
              </m:fName>
              <m:e>
                <m:d>
                  <m:dPr>
                    <m:begChr m:val="["/>
                    <m:endChr m:val="]"/>
                    <m:ctrlPr>
                      <w:rPr>
                        <w:rFonts w:ascii="Cambria Math" w:hAnsi="Cambria Math" w:cs="Times New Roman"/>
                        <w:i/>
                        <w:color w:val="auto"/>
                        <w:sz w:val="21"/>
                        <w:szCs w:val="21"/>
                      </w:rPr>
                    </m:ctrlPr>
                  </m:dPr>
                  <m:e>
                    <m:sSub>
                      <m:sSubPr>
                        <m:ctrlPr>
                          <w:rPr>
                            <w:rFonts w:ascii="Cambria Math" w:hAnsi="Cambria Math" w:cs="Times New Roman"/>
                            <w:i/>
                            <w:color w:val="auto"/>
                            <w:sz w:val="21"/>
                            <w:szCs w:val="21"/>
                          </w:rPr>
                        </m:ctrlPr>
                      </m:sSubPr>
                      <m:e>
                        <m:r>
                          <m:rPr/>
                          <w:rPr>
                            <w:rFonts w:ascii="Cambria Math" w:hAnsi="Cambria Math" w:cs="Times New Roman"/>
                            <w:color w:val="auto"/>
                            <w:sz w:val="21"/>
                            <w:szCs w:val="21"/>
                          </w:rPr>
                          <m:t>X</m:t>
                        </m:r>
                        <m:ctrlPr>
                          <w:rPr>
                            <w:rFonts w:ascii="Cambria Math" w:hAnsi="Cambria Math" w:cs="Times New Roman"/>
                            <w:i/>
                            <w:color w:val="auto"/>
                            <w:sz w:val="21"/>
                            <w:szCs w:val="21"/>
                          </w:rPr>
                        </m:ctrlPr>
                      </m:e>
                      <m:sub>
                        <m:r>
                          <m:rPr/>
                          <w:rPr>
                            <w:rFonts w:ascii="Cambria Math" w:hAnsi="Cambria Math" w:cs="Times New Roman"/>
                            <w:color w:val="auto"/>
                            <w:sz w:val="21"/>
                            <w:szCs w:val="21"/>
                          </w:rPr>
                          <m:t>ij</m:t>
                        </m:r>
                        <m:ctrlPr>
                          <w:rPr>
                            <w:rFonts w:ascii="Cambria Math" w:hAnsi="Cambria Math" w:cs="Times New Roman"/>
                            <w:i/>
                            <w:color w:val="auto"/>
                            <w:sz w:val="21"/>
                            <w:szCs w:val="21"/>
                          </w:rPr>
                        </m:ctrlPr>
                      </m:sub>
                    </m:sSub>
                    <m:d>
                      <m:dPr>
                        <m:ctrlPr>
                          <w:rPr>
                            <w:rFonts w:ascii="Cambria Math" w:hAnsi="Cambria Math" w:cs="Times New Roman"/>
                            <w:i/>
                            <w:color w:val="auto"/>
                            <w:sz w:val="21"/>
                            <w:szCs w:val="21"/>
                          </w:rPr>
                        </m:ctrlPr>
                      </m:dPr>
                      <m:e>
                        <m:r>
                          <m:rPr/>
                          <w:rPr>
                            <w:rFonts w:ascii="Cambria Math" w:hAnsi="Cambria Math" w:cs="Times New Roman"/>
                            <w:color w:val="auto"/>
                            <w:sz w:val="21"/>
                            <w:szCs w:val="21"/>
                          </w:rPr>
                          <m:t>t</m:t>
                        </m:r>
                        <m:ctrlPr>
                          <w:rPr>
                            <w:rFonts w:ascii="Cambria Math" w:hAnsi="Cambria Math" w:cs="Times New Roman"/>
                            <w:i/>
                            <w:color w:val="auto"/>
                            <w:sz w:val="21"/>
                            <w:szCs w:val="21"/>
                          </w:rPr>
                        </m:ctrlPr>
                      </m:e>
                    </m:d>
                    <m:ctrlPr>
                      <w:rPr>
                        <w:rFonts w:ascii="Cambria Math" w:hAnsi="Cambria Math" w:cs="Times New Roman"/>
                        <w:i/>
                        <w:color w:val="auto"/>
                        <w:sz w:val="21"/>
                        <w:szCs w:val="21"/>
                      </w:rPr>
                    </m:ctrlPr>
                  </m:e>
                </m:d>
                <m:ctrlPr>
                  <w:rPr>
                    <w:rFonts w:ascii="Cambria Math" w:hAnsi="Cambria Math" w:cs="Times New Roman"/>
                    <w:color w:val="auto"/>
                    <w:sz w:val="21"/>
                    <w:szCs w:val="21"/>
                  </w:rPr>
                </m:ctrlPr>
              </m:e>
            </m:func>
            <m:r>
              <m:rPr/>
              <w:rPr>
                <w:rFonts w:ascii="Cambria Math" w:hAnsi="Cambria Math" w:cs="Times New Roman"/>
                <w:color w:val="auto"/>
                <w:sz w:val="21"/>
                <w:szCs w:val="21"/>
              </w:rPr>
              <m:t>−</m:t>
            </m:r>
            <m:sSub>
              <m:sSubPr>
                <m:ctrlPr>
                  <w:rPr>
                    <w:rFonts w:ascii="Cambria Math" w:hAnsi="Cambria Math" w:cs="Times New Roman"/>
                    <w:i/>
                    <w:color w:val="auto"/>
                    <w:sz w:val="21"/>
                    <w:szCs w:val="21"/>
                  </w:rPr>
                </m:ctrlPr>
              </m:sSubPr>
              <m:e>
                <m:r>
                  <m:rPr/>
                  <w:rPr>
                    <w:rFonts w:ascii="Cambria Math" w:hAnsi="Cambria Math" w:cs="Times New Roman"/>
                    <w:color w:val="auto"/>
                    <w:sz w:val="21"/>
                    <w:szCs w:val="21"/>
                  </w:rPr>
                  <m:t>X</m:t>
                </m:r>
                <m:ctrlPr>
                  <w:rPr>
                    <w:rFonts w:ascii="Cambria Math" w:hAnsi="Cambria Math" w:cs="Times New Roman"/>
                    <w:i/>
                    <w:color w:val="auto"/>
                    <w:sz w:val="21"/>
                    <w:szCs w:val="21"/>
                  </w:rPr>
                </m:ctrlPr>
              </m:e>
              <m:sub>
                <m:r>
                  <m:rPr/>
                  <w:rPr>
                    <w:rFonts w:ascii="Cambria Math" w:hAnsi="Cambria Math" w:cs="Times New Roman"/>
                    <w:color w:val="auto"/>
                    <w:sz w:val="21"/>
                    <w:szCs w:val="21"/>
                  </w:rPr>
                  <m:t>ij</m:t>
                </m:r>
                <m:ctrlPr>
                  <w:rPr>
                    <w:rFonts w:ascii="Cambria Math" w:hAnsi="Cambria Math" w:cs="Times New Roman"/>
                    <w:i/>
                    <w:color w:val="auto"/>
                    <w:sz w:val="21"/>
                    <w:szCs w:val="21"/>
                  </w:rPr>
                </m:ctrlPr>
              </m:sub>
            </m:sSub>
            <m:d>
              <m:dPr>
                <m:ctrlPr>
                  <w:rPr>
                    <w:rFonts w:ascii="Cambria Math" w:hAnsi="Cambria Math" w:cs="Times New Roman"/>
                    <w:i/>
                    <w:color w:val="auto"/>
                    <w:sz w:val="21"/>
                    <w:szCs w:val="21"/>
                  </w:rPr>
                </m:ctrlPr>
              </m:dPr>
              <m:e>
                <m:r>
                  <m:rPr/>
                  <w:rPr>
                    <w:rFonts w:ascii="Cambria Math" w:hAnsi="Cambria Math" w:cs="Times New Roman"/>
                    <w:color w:val="auto"/>
                    <w:sz w:val="21"/>
                    <w:szCs w:val="21"/>
                  </w:rPr>
                  <m:t>t</m:t>
                </m:r>
                <m:ctrlPr>
                  <w:rPr>
                    <w:rFonts w:ascii="Cambria Math" w:hAnsi="Cambria Math" w:cs="Times New Roman"/>
                    <w:i/>
                    <w:color w:val="auto"/>
                    <w:sz w:val="21"/>
                    <w:szCs w:val="21"/>
                  </w:rPr>
                </m:ctrlPr>
              </m:e>
            </m:d>
            <m:ctrlPr>
              <w:rPr>
                <w:rFonts w:ascii="Cambria Math" w:hAnsi="Cambria Math" w:cs="Times New Roman"/>
                <w:i/>
                <w:color w:val="auto"/>
                <w:sz w:val="21"/>
                <w:szCs w:val="21"/>
              </w:rPr>
            </m:ctrlPr>
          </m:num>
          <m:den>
            <m:func>
              <m:funcPr>
                <m:ctrlPr>
                  <w:rPr>
                    <w:rFonts w:ascii="Cambria Math" w:hAnsi="Cambria Math" w:cs="Times New Roman"/>
                    <w:color w:val="auto"/>
                    <w:sz w:val="21"/>
                    <w:szCs w:val="21"/>
                  </w:rPr>
                </m:ctrlPr>
              </m:funcPr>
              <m:fName>
                <m:r>
                  <m:rPr>
                    <m:sty m:val="p"/>
                  </m:rPr>
                  <w:rPr>
                    <w:rFonts w:ascii="Cambria Math" w:hAnsi="Cambria Math" w:cs="Times New Roman"/>
                    <w:color w:val="auto"/>
                    <w:sz w:val="21"/>
                    <w:szCs w:val="21"/>
                  </w:rPr>
                  <m:t>max</m:t>
                </m:r>
                <m:ctrlPr>
                  <w:rPr>
                    <w:rFonts w:ascii="Cambria Math" w:hAnsi="Cambria Math" w:cs="Times New Roman"/>
                    <w:color w:val="auto"/>
                    <w:sz w:val="21"/>
                    <w:szCs w:val="21"/>
                  </w:rPr>
                </m:ctrlPr>
              </m:fName>
              <m:e>
                <m:d>
                  <m:dPr>
                    <m:begChr m:val="["/>
                    <m:endChr m:val="]"/>
                    <m:ctrlPr>
                      <w:rPr>
                        <w:rFonts w:ascii="Cambria Math" w:hAnsi="Cambria Math" w:cs="Times New Roman"/>
                        <w:i/>
                        <w:color w:val="auto"/>
                        <w:sz w:val="21"/>
                        <w:szCs w:val="21"/>
                      </w:rPr>
                    </m:ctrlPr>
                  </m:dPr>
                  <m:e>
                    <m:sSub>
                      <m:sSubPr>
                        <m:ctrlPr>
                          <w:rPr>
                            <w:rFonts w:ascii="Cambria Math" w:hAnsi="Cambria Math" w:cs="Times New Roman"/>
                            <w:i/>
                            <w:color w:val="auto"/>
                            <w:sz w:val="21"/>
                            <w:szCs w:val="21"/>
                          </w:rPr>
                        </m:ctrlPr>
                      </m:sSubPr>
                      <m:e>
                        <m:r>
                          <m:rPr/>
                          <w:rPr>
                            <w:rFonts w:ascii="Cambria Math" w:hAnsi="Cambria Math" w:cs="Times New Roman"/>
                            <w:color w:val="auto"/>
                            <w:sz w:val="21"/>
                            <w:szCs w:val="21"/>
                          </w:rPr>
                          <m:t>X</m:t>
                        </m:r>
                        <m:ctrlPr>
                          <w:rPr>
                            <w:rFonts w:ascii="Cambria Math" w:hAnsi="Cambria Math" w:cs="Times New Roman"/>
                            <w:i/>
                            <w:color w:val="auto"/>
                            <w:sz w:val="21"/>
                            <w:szCs w:val="21"/>
                          </w:rPr>
                        </m:ctrlPr>
                      </m:e>
                      <m:sub>
                        <m:r>
                          <m:rPr/>
                          <w:rPr>
                            <w:rFonts w:ascii="Cambria Math" w:hAnsi="Cambria Math" w:cs="Times New Roman"/>
                            <w:color w:val="auto"/>
                            <w:sz w:val="21"/>
                            <w:szCs w:val="21"/>
                          </w:rPr>
                          <m:t>ij</m:t>
                        </m:r>
                        <m:ctrlPr>
                          <w:rPr>
                            <w:rFonts w:ascii="Cambria Math" w:hAnsi="Cambria Math" w:cs="Times New Roman"/>
                            <w:i/>
                            <w:color w:val="auto"/>
                            <w:sz w:val="21"/>
                            <w:szCs w:val="21"/>
                          </w:rPr>
                        </m:ctrlPr>
                      </m:sub>
                    </m:sSub>
                    <m:d>
                      <m:dPr>
                        <m:ctrlPr>
                          <w:rPr>
                            <w:rFonts w:ascii="Cambria Math" w:hAnsi="Cambria Math" w:cs="Times New Roman"/>
                            <w:i/>
                            <w:color w:val="auto"/>
                            <w:sz w:val="21"/>
                            <w:szCs w:val="21"/>
                          </w:rPr>
                        </m:ctrlPr>
                      </m:dPr>
                      <m:e>
                        <m:r>
                          <m:rPr/>
                          <w:rPr>
                            <w:rFonts w:ascii="Cambria Math" w:hAnsi="Cambria Math" w:cs="Times New Roman"/>
                            <w:color w:val="auto"/>
                            <w:sz w:val="21"/>
                            <w:szCs w:val="21"/>
                          </w:rPr>
                          <m:t>t</m:t>
                        </m:r>
                        <m:ctrlPr>
                          <w:rPr>
                            <w:rFonts w:ascii="Cambria Math" w:hAnsi="Cambria Math" w:cs="Times New Roman"/>
                            <w:i/>
                            <w:color w:val="auto"/>
                            <w:sz w:val="21"/>
                            <w:szCs w:val="21"/>
                          </w:rPr>
                        </m:ctrlPr>
                      </m:e>
                    </m:d>
                    <m:ctrlPr>
                      <w:rPr>
                        <w:rFonts w:ascii="Cambria Math" w:hAnsi="Cambria Math" w:cs="Times New Roman"/>
                        <w:i/>
                        <w:color w:val="auto"/>
                        <w:sz w:val="21"/>
                        <w:szCs w:val="21"/>
                      </w:rPr>
                    </m:ctrlPr>
                  </m:e>
                </m:d>
                <m:ctrlPr>
                  <w:rPr>
                    <w:rFonts w:ascii="Cambria Math" w:hAnsi="Cambria Math" w:cs="Times New Roman"/>
                    <w:color w:val="auto"/>
                    <w:sz w:val="21"/>
                    <w:szCs w:val="21"/>
                  </w:rPr>
                </m:ctrlPr>
              </m:e>
            </m:func>
            <m:r>
              <m:rPr/>
              <w:rPr>
                <w:rFonts w:ascii="Cambria Math" w:hAnsi="Cambria Math" w:cs="Times New Roman"/>
                <w:color w:val="auto"/>
                <w:sz w:val="21"/>
                <w:szCs w:val="21"/>
              </w:rPr>
              <m:t>−</m:t>
            </m:r>
            <m:r>
              <m:rPr>
                <m:sty m:val="p"/>
              </m:rPr>
              <w:rPr>
                <w:rFonts w:ascii="Cambria Math" w:hAnsi="Cambria Math" w:cs="Times New Roman"/>
                <w:color w:val="auto"/>
                <w:sz w:val="21"/>
                <w:szCs w:val="21"/>
              </w:rPr>
              <m:t>min</m:t>
            </m:r>
            <m:r>
              <m:rPr/>
              <w:rPr>
                <w:rFonts w:ascii="Cambria Math" w:hAnsi="Cambria Math" w:cs="Times New Roman"/>
                <w:color w:val="auto"/>
                <w:sz w:val="21"/>
                <w:szCs w:val="21"/>
              </w:rPr>
              <m:t>[</m:t>
            </m:r>
            <m:sSub>
              <m:sSubPr>
                <m:ctrlPr>
                  <w:rPr>
                    <w:rFonts w:ascii="Cambria Math" w:hAnsi="Cambria Math" w:cs="Times New Roman"/>
                    <w:i/>
                    <w:color w:val="auto"/>
                    <w:sz w:val="21"/>
                    <w:szCs w:val="21"/>
                  </w:rPr>
                </m:ctrlPr>
              </m:sSubPr>
              <m:e>
                <m:r>
                  <m:rPr/>
                  <w:rPr>
                    <w:rFonts w:ascii="Cambria Math" w:hAnsi="Cambria Math" w:cs="Times New Roman"/>
                    <w:color w:val="auto"/>
                    <w:sz w:val="21"/>
                    <w:szCs w:val="21"/>
                  </w:rPr>
                  <m:t>X</m:t>
                </m:r>
                <m:ctrlPr>
                  <w:rPr>
                    <w:rFonts w:ascii="Cambria Math" w:hAnsi="Cambria Math" w:cs="Times New Roman"/>
                    <w:i/>
                    <w:color w:val="auto"/>
                    <w:sz w:val="21"/>
                    <w:szCs w:val="21"/>
                  </w:rPr>
                </m:ctrlPr>
              </m:e>
              <m:sub>
                <m:r>
                  <m:rPr/>
                  <w:rPr>
                    <w:rFonts w:ascii="Cambria Math" w:hAnsi="Cambria Math" w:cs="Times New Roman"/>
                    <w:color w:val="auto"/>
                    <w:sz w:val="21"/>
                    <w:szCs w:val="21"/>
                  </w:rPr>
                  <m:t>ij</m:t>
                </m:r>
                <m:ctrlPr>
                  <w:rPr>
                    <w:rFonts w:ascii="Cambria Math" w:hAnsi="Cambria Math" w:cs="Times New Roman"/>
                    <w:i/>
                    <w:color w:val="auto"/>
                    <w:sz w:val="21"/>
                    <w:szCs w:val="21"/>
                  </w:rPr>
                </m:ctrlPr>
              </m:sub>
            </m:sSub>
            <m:r>
              <m:rPr/>
              <w:rPr>
                <w:rFonts w:ascii="Cambria Math" w:hAnsi="Cambria Math" w:cs="Times New Roman"/>
                <w:color w:val="auto"/>
                <w:sz w:val="21"/>
                <w:szCs w:val="21"/>
              </w:rPr>
              <m:t>(t)]</m:t>
            </m:r>
            <m:ctrlPr>
              <w:rPr>
                <w:rFonts w:ascii="Cambria Math" w:hAnsi="Cambria Math" w:cs="Times New Roman"/>
                <w:i/>
                <w:color w:val="auto"/>
                <w:sz w:val="21"/>
                <w:szCs w:val="21"/>
              </w:rPr>
            </m:ctrlPr>
          </m:den>
        </m:f>
      </m:oMath>
      <w:r>
        <w:rPr>
          <w:rFonts w:hint="eastAsia" w:hAnsi="Cambria Math" w:cs="Times New Roman"/>
          <w:i w:val="0"/>
          <w:color w:val="auto"/>
          <w:sz w:val="18"/>
          <w:szCs w:val="18"/>
          <w:lang w:val="en-US" w:eastAsia="zh-CN"/>
        </w:rPr>
        <w:t xml:space="preserve">                 </w:t>
      </w:r>
      <w:r>
        <w:rPr>
          <w:rFonts w:hint="eastAsia" w:hAnsi="Cambria Math" w:cs="Times New Roman"/>
          <w:i w:val="0"/>
          <w:color w:val="auto"/>
          <w:sz w:val="21"/>
          <w:szCs w:val="21"/>
          <w:lang w:val="en-US" w:eastAsia="zh-CN"/>
        </w:rPr>
        <w:t>（负向指标）                    （</w:t>
      </w:r>
      <w:r>
        <w:rPr>
          <w:rFonts w:hint="eastAsia"/>
          <w:color w:val="000000" w:themeColor="text1"/>
          <w14:textFill>
            <w14:solidFill>
              <w14:schemeClr w14:val="tx1"/>
            </w14:solidFill>
          </w14:textFill>
        </w:rPr>
        <w:t>A</w:t>
      </w:r>
      <w:r>
        <w:rPr>
          <w:rFonts w:hint="eastAsia"/>
          <w:color w:val="000000" w:themeColor="text1"/>
          <w:lang w:val="en-US" w:eastAsia="zh-CN"/>
          <w14:textFill>
            <w14:solidFill>
              <w14:schemeClr w14:val="tx1"/>
            </w14:solidFill>
          </w14:textFill>
        </w:rPr>
        <w:t>2</w:t>
      </w:r>
      <w:r>
        <w:rPr>
          <w:rFonts w:hint="eastAsia" w:hAnsi="Cambria Math" w:cs="Times New Roman"/>
          <w:i w:val="0"/>
          <w:color w:val="auto"/>
          <w:sz w:val="21"/>
          <w:szCs w:val="21"/>
          <w:lang w:val="en-US" w:eastAsia="zh-CN"/>
        </w:rPr>
        <w:t>）</w:t>
      </w:r>
    </w:p>
    <w:p w14:paraId="5A861C1D">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firstLine="444" w:firstLineChars="200"/>
        <w:jc w:val="both"/>
        <w:textAlignment w:val="auto"/>
        <w:rPr>
          <w:rFonts w:hint="default" w:hAnsi="Cambria Math" w:eastAsia="宋体" w:cs="Times New Roman"/>
          <w:i w:val="0"/>
          <w:color w:val="auto"/>
          <w:sz w:val="21"/>
          <w:szCs w:val="21"/>
          <w:lang w:val="en-US" w:eastAsia="zh-CN"/>
        </w:rPr>
      </w:pPr>
      <w:r>
        <w:rPr>
          <w:rFonts w:hint="eastAsia" w:hAnsi="Cambria Math" w:cs="Times New Roman"/>
          <w:i w:val="0"/>
          <w:color w:val="auto"/>
          <w:sz w:val="21"/>
          <w:szCs w:val="21"/>
          <w:lang w:val="en-US" w:eastAsia="zh-CN"/>
        </w:rPr>
        <w:t>其中，</w:t>
      </w:r>
      <m:oMath>
        <m:sSub>
          <m:sSubPr>
            <m:ctrlPr>
              <w:rPr>
                <w:rFonts w:hint="default" w:ascii="Cambria Math" w:hAnsi="Cambria Math" w:cs="Times New Roman"/>
                <w:i/>
                <w:color w:val="auto"/>
                <w:sz w:val="21"/>
                <w:szCs w:val="21"/>
              </w:rPr>
            </m:ctrlPr>
          </m:sSubPr>
          <m:e>
            <m:r>
              <m:rPr>
                <m:nor/>
              </m:rPr>
              <w:rPr>
                <w:rFonts w:hint="default" w:ascii="Times New Roman" w:hAnsi="Times New Roman" w:cs="Times New Roman"/>
                <w:i/>
                <w:color w:val="auto"/>
                <w:sz w:val="21"/>
                <w:szCs w:val="21"/>
              </w:rPr>
              <m:t>X</m:t>
            </m:r>
            <m:ctrlPr>
              <w:rPr>
                <w:rFonts w:hint="default" w:ascii="Cambria Math" w:hAnsi="Cambria Math" w:cs="Times New Roman"/>
                <w:i/>
                <w:color w:val="auto"/>
                <w:sz w:val="21"/>
                <w:szCs w:val="21"/>
              </w:rPr>
            </m:ctrlPr>
          </m:e>
          <m:sub>
            <m:r>
              <m:rPr>
                <m:nor/>
              </m:rPr>
              <w:rPr>
                <w:rFonts w:hint="default" w:ascii="Times New Roman" w:hAnsi="Times New Roman" w:cs="Times New Roman"/>
                <w:i/>
                <w:color w:val="auto"/>
                <w:sz w:val="21"/>
                <w:szCs w:val="21"/>
              </w:rPr>
              <m:t>ij</m:t>
            </m:r>
            <m:ctrlPr>
              <w:rPr>
                <w:rFonts w:hint="default" w:ascii="Cambria Math" w:hAnsi="Cambria Math" w:cs="Times New Roman"/>
                <w:i/>
                <w:color w:val="auto"/>
                <w:sz w:val="21"/>
                <w:szCs w:val="21"/>
              </w:rPr>
            </m:ctrlPr>
          </m:sub>
        </m:sSub>
        <m:d>
          <m:dPr>
            <m:ctrlPr>
              <w:rPr>
                <w:rFonts w:hint="default" w:ascii="Cambria Math" w:hAnsi="Cambria Math" w:cs="Times New Roman"/>
                <w:i/>
                <w:color w:val="auto"/>
                <w:sz w:val="21"/>
                <w:szCs w:val="21"/>
              </w:rPr>
            </m:ctrlPr>
          </m:dPr>
          <m:e>
            <m:r>
              <m:rPr>
                <m:nor/>
              </m:rPr>
              <w:rPr>
                <w:rFonts w:hint="default" w:ascii="Times New Roman" w:hAnsi="Times New Roman" w:cs="Times New Roman"/>
                <w:i/>
                <w:color w:val="auto"/>
                <w:sz w:val="21"/>
                <w:szCs w:val="21"/>
              </w:rPr>
              <m:t>t</m:t>
            </m:r>
            <m:ctrlPr>
              <w:rPr>
                <w:rFonts w:hint="default" w:ascii="Cambria Math" w:hAnsi="Cambria Math" w:cs="Times New Roman"/>
                <w:i/>
                <w:color w:val="auto"/>
                <w:sz w:val="21"/>
                <w:szCs w:val="21"/>
              </w:rPr>
            </m:ctrlPr>
          </m:e>
        </m:d>
      </m:oMath>
      <w:r>
        <w:rPr>
          <w:rFonts w:hint="eastAsia" w:hAnsi="Cambria Math" w:cs="Times New Roman"/>
          <w:i w:val="0"/>
          <w:color w:val="auto"/>
          <w:sz w:val="21"/>
          <w:szCs w:val="21"/>
          <w:lang w:val="en-US" w:eastAsia="zh-CN"/>
        </w:rPr>
        <w:t>表示</w:t>
      </w:r>
      <m:oMath>
        <m:r>
          <m:rPr/>
          <w:rPr>
            <w:rFonts w:ascii="Cambria Math" w:hAnsi="Cambria Math" w:cs="Times New Roman"/>
            <w:color w:val="auto"/>
            <w:sz w:val="21"/>
            <w:szCs w:val="21"/>
          </w:rPr>
          <m:t>j</m:t>
        </m:r>
      </m:oMath>
      <w:r>
        <w:rPr>
          <w:rFonts w:hint="eastAsia" w:hAnsi="Cambria Math" w:cs="Times New Roman"/>
          <w:i w:val="0"/>
          <w:color w:val="auto"/>
          <w:sz w:val="21"/>
          <w:szCs w:val="21"/>
          <w:lang w:val="en-US" w:eastAsia="zh-CN"/>
        </w:rPr>
        <w:t>城市在</w:t>
      </w:r>
      <m:oMath>
        <m:r>
          <m:rPr/>
          <w:rPr>
            <w:rFonts w:ascii="Cambria Math" w:hAnsi="Cambria Math" w:cs="Times New Roman"/>
            <w:color w:val="auto"/>
            <w:sz w:val="21"/>
            <w:szCs w:val="21"/>
          </w:rPr>
          <m:t>t</m:t>
        </m:r>
      </m:oMath>
      <w:r>
        <w:rPr>
          <w:rFonts w:hint="eastAsia" w:hAnsi="Cambria Math" w:cs="Times New Roman"/>
          <w:i w:val="0"/>
          <w:color w:val="auto"/>
          <w:sz w:val="21"/>
          <w:szCs w:val="21"/>
          <w:lang w:val="en-US" w:eastAsia="zh-CN"/>
        </w:rPr>
        <w:t>时间的第</w:t>
      </w:r>
      <m:oMath>
        <m:r>
          <m:rPr/>
          <w:rPr>
            <w:rFonts w:ascii="Cambria Math" w:hAnsi="Cambria Math" w:cs="Times New Roman"/>
            <w:color w:val="auto"/>
            <w:sz w:val="21"/>
            <w:szCs w:val="21"/>
          </w:rPr>
          <m:t>i</m:t>
        </m:r>
      </m:oMath>
      <w:r>
        <w:rPr>
          <w:rFonts w:hint="eastAsia" w:hAnsi="Cambria Math" w:cs="Times New Roman"/>
          <w:i w:val="0"/>
          <w:color w:val="auto"/>
          <w:sz w:val="21"/>
          <w:szCs w:val="21"/>
          <w:lang w:val="en-US" w:eastAsia="zh-CN"/>
        </w:rPr>
        <w:t>个指标的具体数值。</w:t>
      </w:r>
    </w:p>
    <w:p w14:paraId="64E6F4BE">
      <w:pPr>
        <w:ind w:firstLine="446"/>
        <w:rPr>
          <w:color w:val="000000" w:themeColor="text1"/>
          <w14:textFill>
            <w14:solidFill>
              <w14:schemeClr w14:val="tx1"/>
            </w14:solidFill>
          </w14:textFill>
        </w:rPr>
      </w:pPr>
      <w:r>
        <w:rPr>
          <w:color w:val="000000" w:themeColor="text1"/>
          <w14:textFill>
            <w14:solidFill>
              <w14:schemeClr w14:val="tx1"/>
            </w14:solidFill>
          </w14:textFill>
        </w:rPr>
        <w:t>②</w:t>
      </w:r>
      <w:r>
        <w:rPr>
          <w:rFonts w:hint="eastAsia"/>
          <w:color w:val="000000" w:themeColor="text1"/>
          <w14:textFill>
            <w14:solidFill>
              <w14:schemeClr w14:val="tx1"/>
            </w14:solidFill>
          </w14:textFill>
        </w:rPr>
        <w:t>计算实对称矩阵并求解最大特征值和相应标准特征向量</w:t>
      </w:r>
      <w:r>
        <w:rPr>
          <w:color w:val="000000" w:themeColor="text1"/>
          <w14:textFill>
            <w14:solidFill>
              <w14:schemeClr w14:val="tx1"/>
            </w14:solidFill>
          </w14:textFill>
        </w:rPr>
        <w:t>：</w:t>
      </w:r>
    </w:p>
    <w:p w14:paraId="27E81C52">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firstLine="1554" w:firstLineChars="700"/>
        <w:jc w:val="both"/>
        <w:textAlignment w:val="auto"/>
        <w:rPr>
          <w:rFonts w:cs="Times New Roman"/>
          <w:color w:val="auto"/>
          <w:highlight w:val="none"/>
        </w:rPr>
      </w:pPr>
      <m:oMath>
        <m:r>
          <m:rPr>
            <m:sty m:val="p"/>
          </m:rPr>
          <w:rPr>
            <w:rFonts w:hint="default" w:ascii="Cambria Math" w:hAnsi="Cambria Math" w:eastAsia="宋体" w:cs="宋体"/>
            <w:color w:val="auto"/>
            <w:highlight w:val="none"/>
          </w:rPr>
          <m:t>max</m:t>
        </m:r>
        <m:sSup>
          <m:sSupPr>
            <m:ctrlPr>
              <w:rPr>
                <w:rFonts w:ascii="Cambria Math" w:hAnsi="Cambria Math" w:cs="Times New Roman"/>
                <w:i/>
                <w:color w:val="auto"/>
                <w:highlight w:val="none"/>
              </w:rPr>
            </m:ctrlPr>
          </m:sSupPr>
          <m:e>
            <m:r>
              <m:rPr/>
              <w:rPr>
                <w:rFonts w:ascii="Cambria Math" w:hAnsi="Cambria Math" w:cs="Times New Roman"/>
                <w:color w:val="auto"/>
                <w:highlight w:val="none"/>
              </w:rPr>
              <m:t>σ</m:t>
            </m:r>
            <m:ctrlPr>
              <w:rPr>
                <w:rFonts w:ascii="Cambria Math" w:hAnsi="Cambria Math" w:cs="Times New Roman"/>
                <w:i/>
                <w:color w:val="auto"/>
                <w:highlight w:val="none"/>
              </w:rPr>
            </m:ctrlPr>
          </m:e>
          <m:sup>
            <m:r>
              <m:rPr/>
              <w:rPr>
                <w:rFonts w:ascii="Cambria Math" w:hAnsi="Cambria Math" w:cs="Times New Roman"/>
                <w:color w:val="auto"/>
                <w:highlight w:val="none"/>
              </w:rPr>
              <m:t>2</m:t>
            </m:r>
            <m:ctrlPr>
              <w:rPr>
                <w:rFonts w:ascii="Cambria Math" w:hAnsi="Cambria Math" w:cs="Times New Roman"/>
                <w:i/>
                <w:color w:val="auto"/>
                <w:highlight w:val="none"/>
              </w:rPr>
            </m:ctrlPr>
          </m:sup>
        </m:sSup>
        <m:r>
          <m:rPr/>
          <w:rPr>
            <w:rFonts w:ascii="Cambria Math" w:hAnsi="Cambria Math" w:cs="Times New Roman"/>
            <w:color w:val="auto"/>
            <w:highlight w:val="none"/>
          </w:rPr>
          <m:t>=</m:t>
        </m:r>
        <m:nary>
          <m:naryPr>
            <m:chr m:val="∑"/>
            <m:limLoc m:val="subSup"/>
            <m:ctrlPr>
              <w:rPr>
                <w:rFonts w:ascii="Cambria Math" w:hAnsi="Cambria Math" w:cs="Times New Roman"/>
                <w:i/>
                <w:color w:val="auto"/>
                <w:highlight w:val="none"/>
              </w:rPr>
            </m:ctrlPr>
          </m:naryPr>
          <m:sub>
            <m:r>
              <m:rPr/>
              <w:rPr>
                <w:rFonts w:ascii="Cambria Math" w:hAnsi="Cambria Math" w:cs="Times New Roman"/>
                <w:color w:val="auto"/>
                <w:highlight w:val="none"/>
              </w:rPr>
              <m:t>t=</m:t>
            </m:r>
            <m:r>
              <m:rPr/>
              <w:rPr>
                <w:rFonts w:hint="default" w:ascii="Cambria Math" w:hAnsi="Cambria Math" w:cs="Times New Roman"/>
                <w:color w:val="auto"/>
                <w:highlight w:val="none"/>
                <w:lang w:val="en-US" w:eastAsia="zh-CN"/>
              </w:rPr>
              <m:t>1</m:t>
            </m:r>
            <m:ctrlPr>
              <w:rPr>
                <w:rFonts w:ascii="Cambria Math" w:hAnsi="Cambria Math" w:cs="Times New Roman"/>
                <w:i/>
                <w:color w:val="auto"/>
                <w:highlight w:val="none"/>
              </w:rPr>
            </m:ctrlPr>
          </m:sub>
          <m:sup>
            <m:r>
              <m:rPr/>
              <w:rPr>
                <w:rFonts w:hint="default" w:ascii="Cambria Math" w:hAnsi="Cambria Math" w:cs="Times New Roman"/>
                <w:color w:val="auto"/>
                <w:highlight w:val="none"/>
                <w:lang w:val="en-US" w:eastAsia="zh-CN"/>
              </w:rPr>
              <m:t>T</m:t>
            </m:r>
            <m:ctrlPr>
              <w:rPr>
                <w:rFonts w:ascii="Cambria Math" w:hAnsi="Cambria Math" w:cs="Times New Roman"/>
                <w:i/>
                <w:color w:val="auto"/>
                <w:highlight w:val="none"/>
              </w:rPr>
            </m:ctrlPr>
          </m:sup>
          <m:e>
            <m:nary>
              <m:naryPr>
                <m:chr m:val="∑"/>
                <m:limLoc m:val="subSup"/>
                <m:ctrlPr>
                  <w:rPr>
                    <w:rFonts w:ascii="Cambria Math" w:hAnsi="Cambria Math" w:cs="Times New Roman"/>
                    <w:i/>
                    <w:color w:val="auto"/>
                    <w:highlight w:val="none"/>
                  </w:rPr>
                </m:ctrlPr>
              </m:naryPr>
              <m:sub>
                <m:r>
                  <m:rPr/>
                  <w:rPr>
                    <w:rFonts w:ascii="Cambria Math" w:hAnsi="Cambria Math" w:cs="Times New Roman"/>
                    <w:color w:val="auto"/>
                    <w:highlight w:val="none"/>
                  </w:rPr>
                  <m:t>i=1</m:t>
                </m:r>
                <m:ctrlPr>
                  <w:rPr>
                    <w:rFonts w:ascii="Cambria Math" w:hAnsi="Cambria Math" w:cs="Times New Roman"/>
                    <w:i/>
                    <w:color w:val="auto"/>
                    <w:highlight w:val="none"/>
                  </w:rPr>
                </m:ctrlPr>
              </m:sub>
              <m:sup>
                <m:r>
                  <m:rPr/>
                  <w:rPr>
                    <w:rFonts w:ascii="Cambria Math" w:hAnsi="Cambria Math" w:cs="Times New Roman"/>
                    <w:color w:val="auto"/>
                    <w:highlight w:val="none"/>
                  </w:rPr>
                  <m:t>n</m:t>
                </m:r>
                <m:ctrlPr>
                  <w:rPr>
                    <w:rFonts w:ascii="Cambria Math" w:hAnsi="Cambria Math" w:cs="Times New Roman"/>
                    <w:i/>
                    <w:color w:val="auto"/>
                    <w:highlight w:val="none"/>
                  </w:rPr>
                </m:ctrlPr>
              </m:sup>
              <m:e>
                <m:sSup>
                  <m:sSupPr>
                    <m:ctrlPr>
                      <w:rPr>
                        <w:rFonts w:ascii="Cambria Math" w:hAnsi="Cambria Math" w:cs="Times New Roman"/>
                        <w:i/>
                        <w:color w:val="auto"/>
                        <w:highlight w:val="none"/>
                      </w:rPr>
                    </m:ctrlPr>
                  </m:sSupPr>
                  <m:e>
                    <m:r>
                      <m:rPr/>
                      <w:rPr>
                        <w:rFonts w:ascii="Cambria Math" w:hAnsi="Cambria Math" w:cs="Times New Roman"/>
                        <w:color w:val="auto"/>
                        <w:highlight w:val="none"/>
                      </w:rPr>
                      <m:t>[</m:t>
                    </m:r>
                    <m:sSub>
                      <m:sSubPr>
                        <m:ctrlPr>
                          <w:rPr>
                            <w:rFonts w:ascii="Cambria Math" w:hAnsi="Cambria Math" w:cs="Times New Roman"/>
                            <w:i/>
                            <w:color w:val="auto"/>
                            <w:highlight w:val="none"/>
                          </w:rPr>
                        </m:ctrlPr>
                      </m:sSubPr>
                      <m:e>
                        <m:r>
                          <m:rPr/>
                          <w:rPr>
                            <w:rFonts w:ascii="Cambria Math" w:hAnsi="Cambria Math" w:cs="Times New Roman"/>
                            <w:color w:val="auto"/>
                            <w:highlight w:val="none"/>
                          </w:rPr>
                          <m:t>Y</m:t>
                        </m:r>
                        <m:ctrlPr>
                          <w:rPr>
                            <w:rFonts w:ascii="Cambria Math" w:hAnsi="Cambria Math" w:cs="Times New Roman"/>
                            <w:i/>
                            <w:color w:val="auto"/>
                            <w:highlight w:val="none"/>
                          </w:rPr>
                        </m:ctrlPr>
                      </m:e>
                      <m:sub>
                        <m:r>
                          <m:rPr/>
                          <w:rPr>
                            <w:rFonts w:ascii="Cambria Math" w:hAnsi="Cambria Math" w:cs="Times New Roman"/>
                            <w:color w:val="auto"/>
                            <w:highlight w:val="none"/>
                          </w:rPr>
                          <m:t>j</m:t>
                        </m:r>
                        <m:ctrlPr>
                          <w:rPr>
                            <w:rFonts w:ascii="Cambria Math" w:hAnsi="Cambria Math" w:cs="Times New Roman"/>
                            <w:i/>
                            <w:color w:val="auto"/>
                            <w:highlight w:val="none"/>
                          </w:rPr>
                        </m:ctrlPr>
                      </m:sub>
                    </m:sSub>
                    <m:d>
                      <m:dPr>
                        <m:ctrlPr>
                          <w:rPr>
                            <w:rFonts w:ascii="Cambria Math" w:hAnsi="Cambria Math" w:cs="Times New Roman"/>
                            <w:i/>
                            <w:color w:val="auto"/>
                            <w:highlight w:val="none"/>
                          </w:rPr>
                        </m:ctrlPr>
                      </m:dPr>
                      <m:e>
                        <m:r>
                          <m:rPr/>
                          <w:rPr>
                            <w:rFonts w:ascii="Cambria Math" w:hAnsi="Cambria Math" w:cs="Times New Roman"/>
                            <w:color w:val="auto"/>
                            <w:highlight w:val="none"/>
                          </w:rPr>
                          <m:t>t</m:t>
                        </m:r>
                        <m:ctrlPr>
                          <w:rPr>
                            <w:rFonts w:ascii="Cambria Math" w:hAnsi="Cambria Math" w:cs="Times New Roman"/>
                            <w:i/>
                            <w:color w:val="auto"/>
                            <w:highlight w:val="none"/>
                          </w:rPr>
                        </m:ctrlPr>
                      </m:e>
                    </m:d>
                    <m:r>
                      <m:rPr/>
                      <w:rPr>
                        <w:rFonts w:ascii="Cambria Math" w:hAnsi="Cambria Math" w:cs="Times New Roman"/>
                        <w:color w:val="auto"/>
                        <w:highlight w:val="none"/>
                      </w:rPr>
                      <m:t>−</m:t>
                    </m:r>
                    <m:acc>
                      <m:accPr>
                        <m:chr m:val="̅"/>
                        <m:ctrlPr>
                          <w:rPr>
                            <w:rFonts w:ascii="Cambria Math" w:hAnsi="Cambria Math" w:cs="Times New Roman"/>
                            <w:i/>
                            <w:color w:val="auto"/>
                            <w:highlight w:val="none"/>
                          </w:rPr>
                        </m:ctrlPr>
                      </m:accPr>
                      <m:e>
                        <m:r>
                          <m:rPr/>
                          <w:rPr>
                            <w:rFonts w:ascii="Cambria Math" w:hAnsi="Cambria Math" w:cs="Times New Roman"/>
                            <w:color w:val="auto"/>
                            <w:highlight w:val="none"/>
                          </w:rPr>
                          <m:t>Y</m:t>
                        </m:r>
                        <m:ctrlPr>
                          <w:rPr>
                            <w:rFonts w:ascii="Cambria Math" w:hAnsi="Cambria Math" w:cs="Times New Roman"/>
                            <w:i/>
                            <w:color w:val="auto"/>
                            <w:highlight w:val="none"/>
                          </w:rPr>
                        </m:ctrlPr>
                      </m:e>
                    </m:acc>
                    <m:r>
                      <m:rPr/>
                      <w:rPr>
                        <w:rFonts w:ascii="Cambria Math" w:hAnsi="Cambria Math" w:cs="Times New Roman"/>
                        <w:color w:val="auto"/>
                        <w:highlight w:val="none"/>
                      </w:rPr>
                      <m:t>]</m:t>
                    </m:r>
                    <m:ctrlPr>
                      <w:rPr>
                        <w:rFonts w:ascii="Cambria Math" w:hAnsi="Cambria Math" w:cs="Times New Roman"/>
                        <w:i/>
                        <w:color w:val="auto"/>
                        <w:highlight w:val="none"/>
                      </w:rPr>
                    </m:ctrlPr>
                  </m:e>
                  <m:sup>
                    <m:r>
                      <m:rPr/>
                      <w:rPr>
                        <w:rFonts w:ascii="Cambria Math" w:hAnsi="Cambria Math" w:cs="Times New Roman"/>
                        <w:color w:val="auto"/>
                        <w:highlight w:val="none"/>
                      </w:rPr>
                      <m:t>2</m:t>
                    </m:r>
                    <m:ctrlPr>
                      <w:rPr>
                        <w:rFonts w:ascii="Cambria Math" w:hAnsi="Cambria Math" w:cs="Times New Roman"/>
                        <w:i/>
                        <w:color w:val="auto"/>
                        <w:highlight w:val="none"/>
                      </w:rPr>
                    </m:ctrlPr>
                  </m:sup>
                </m:sSup>
                <m:ctrlPr>
                  <w:rPr>
                    <w:rFonts w:ascii="Cambria Math" w:hAnsi="Cambria Math" w:cs="Times New Roman"/>
                    <w:i/>
                    <w:color w:val="auto"/>
                    <w:highlight w:val="none"/>
                  </w:rPr>
                </m:ctrlPr>
              </m:e>
            </m:nary>
            <m:ctrlPr>
              <w:rPr>
                <w:rFonts w:ascii="Cambria Math" w:hAnsi="Cambria Math" w:cs="Times New Roman"/>
                <w:i/>
                <w:color w:val="auto"/>
                <w:highlight w:val="none"/>
              </w:rPr>
            </m:ctrlPr>
          </m:e>
        </m:nary>
      </m:oMath>
      <w:r>
        <w:rPr>
          <w:rFonts w:hint="eastAsia" w:hAnsi="Cambria Math" w:cs="Times New Roman"/>
          <w:i w:val="0"/>
          <w:color w:val="auto"/>
          <w:highlight w:val="none"/>
          <w:lang w:val="en-US" w:eastAsia="zh-CN"/>
        </w:rPr>
        <w:t xml:space="preserve">                                             </w:t>
      </w:r>
      <w:r>
        <w:rPr>
          <w:rFonts w:hint="default" w:ascii="Times New Roman" w:hAnsi="Times New Roman" w:cs="Times New Roman"/>
          <w:i w:val="0"/>
          <w:color w:val="auto"/>
          <w:highlight w:val="none"/>
          <w:lang w:val="en-US" w:eastAsia="zh-CN"/>
        </w:rPr>
        <w:t>（</w:t>
      </w:r>
      <w:r>
        <w:rPr>
          <w:rFonts w:hint="eastAsia"/>
          <w:color w:val="000000" w:themeColor="text1"/>
          <w14:textFill>
            <w14:solidFill>
              <w14:schemeClr w14:val="tx1"/>
            </w14:solidFill>
          </w14:textFill>
        </w:rPr>
        <w:t>A</w:t>
      </w:r>
      <w:r>
        <w:rPr>
          <w:rFonts w:hint="eastAsia"/>
          <w:color w:val="000000" w:themeColor="text1"/>
          <w:lang w:val="en-US" w:eastAsia="zh-CN"/>
          <w14:textFill>
            <w14:solidFill>
              <w14:schemeClr w14:val="tx1"/>
            </w14:solidFill>
          </w14:textFill>
        </w:rPr>
        <w:t>3</w:t>
      </w:r>
      <w:r>
        <w:rPr>
          <w:rFonts w:hint="default" w:ascii="Times New Roman" w:hAnsi="Times New Roman" w:cs="Times New Roman"/>
          <w:i w:val="0"/>
          <w:color w:val="auto"/>
          <w:highlight w:val="none"/>
          <w:lang w:val="en-US" w:eastAsia="zh-CN"/>
        </w:rPr>
        <w:t>）</w:t>
      </w:r>
    </w:p>
    <w:p w14:paraId="4460E12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444" w:firstLineChars="200"/>
        <w:jc w:val="both"/>
        <w:textAlignment w:val="auto"/>
        <w:rPr>
          <w:rFonts w:cs="Times New Roman"/>
          <w:color w:val="auto"/>
          <w:highlight w:val="none"/>
        </w:rPr>
      </w:pPr>
      <w:r>
        <w:rPr>
          <w:rFonts w:cs="Times New Roman"/>
          <w:color w:val="auto"/>
          <w:highlight w:val="none"/>
        </w:rPr>
        <w:t>其中，</w:t>
      </w:r>
      <m:oMath>
        <m:sSup>
          <m:sSupPr>
            <m:ctrlPr>
              <w:rPr>
                <w:rFonts w:ascii="Cambria Math" w:hAnsi="Cambria Math" w:cs="Times New Roman"/>
                <w:i/>
                <w:color w:val="auto"/>
                <w:highlight w:val="none"/>
              </w:rPr>
            </m:ctrlPr>
          </m:sSupPr>
          <m:e>
            <m:r>
              <m:rPr/>
              <w:rPr>
                <w:rFonts w:ascii="Cambria Math" w:hAnsi="Cambria Math" w:cs="Times New Roman"/>
                <w:color w:val="auto"/>
                <w:highlight w:val="none"/>
              </w:rPr>
              <m:t>σ</m:t>
            </m:r>
            <m:ctrlPr>
              <w:rPr>
                <w:rFonts w:ascii="Cambria Math" w:hAnsi="Cambria Math" w:cs="Times New Roman"/>
                <w:i/>
                <w:color w:val="auto"/>
                <w:highlight w:val="none"/>
              </w:rPr>
            </m:ctrlPr>
          </m:e>
          <m:sup>
            <m:r>
              <m:rPr/>
              <w:rPr>
                <w:rFonts w:ascii="Cambria Math" w:hAnsi="Cambria Math" w:cs="Times New Roman"/>
                <w:color w:val="auto"/>
                <w:highlight w:val="none"/>
              </w:rPr>
              <m:t>2</m:t>
            </m:r>
            <m:ctrlPr>
              <w:rPr>
                <w:rFonts w:ascii="Cambria Math" w:hAnsi="Cambria Math" w:cs="Times New Roman"/>
                <w:i/>
                <w:color w:val="auto"/>
                <w:highlight w:val="none"/>
              </w:rPr>
            </m:ctrlPr>
          </m:sup>
        </m:sSup>
      </m:oMath>
      <w:r>
        <w:rPr>
          <w:color w:val="auto"/>
          <w:highlight w:val="none"/>
        </w:rPr>
        <w:t>表示各</w:t>
      </w:r>
      <w:r>
        <w:rPr>
          <w:rFonts w:hint="eastAsia"/>
          <w:color w:val="auto"/>
          <w:highlight w:val="none"/>
          <w:lang w:val="en-US" w:eastAsia="zh-CN"/>
        </w:rPr>
        <w:t>地级市</w:t>
      </w:r>
      <w:r>
        <w:rPr>
          <w:color w:val="auto"/>
          <w:highlight w:val="none"/>
        </w:rPr>
        <w:t>基础指标之间的差值</w:t>
      </w:r>
      <w:r>
        <w:rPr>
          <w:rFonts w:hint="eastAsia"/>
          <w:color w:val="auto"/>
          <w:highlight w:val="none"/>
        </w:rPr>
        <w:t>，</w:t>
      </w:r>
      <m:oMath>
        <m:sSub>
          <m:sSubPr>
            <m:ctrlPr>
              <w:rPr>
                <w:rFonts w:hint="default" w:ascii="Cambria Math" w:hAnsi="Cambria Math" w:cs="Times New Roman"/>
                <w:i/>
                <w:color w:val="auto"/>
                <w:highlight w:val="none"/>
              </w:rPr>
            </m:ctrlPr>
          </m:sSubPr>
          <m:e>
            <m:r>
              <m:rPr>
                <m:nor/>
              </m:rPr>
              <w:rPr>
                <w:rFonts w:hint="default" w:ascii="Times New Roman" w:hAnsi="Times New Roman" w:cs="Times New Roman"/>
                <w:i/>
                <w:color w:val="auto"/>
                <w:highlight w:val="none"/>
              </w:rPr>
              <m:t>Y</m:t>
            </m:r>
            <m:ctrlPr>
              <w:rPr>
                <w:rFonts w:hint="default" w:ascii="Cambria Math" w:hAnsi="Cambria Math" w:cs="Times New Roman"/>
                <w:i/>
                <w:color w:val="auto"/>
                <w:highlight w:val="none"/>
              </w:rPr>
            </m:ctrlPr>
          </m:e>
          <m:sub>
            <m:r>
              <m:rPr>
                <m:nor/>
              </m:rPr>
              <w:rPr>
                <w:rFonts w:hint="default" w:ascii="Times New Roman" w:hAnsi="Times New Roman" w:cs="Times New Roman"/>
                <w:i/>
                <w:color w:val="auto"/>
                <w:highlight w:val="none"/>
              </w:rPr>
              <m:t>j</m:t>
            </m:r>
            <m:ctrlPr>
              <w:rPr>
                <w:rFonts w:hint="default" w:ascii="Cambria Math" w:hAnsi="Cambria Math" w:cs="Times New Roman"/>
                <w:i/>
                <w:color w:val="auto"/>
                <w:highlight w:val="none"/>
              </w:rPr>
            </m:ctrlPr>
          </m:sub>
        </m:sSub>
        <m:d>
          <m:dPr>
            <m:ctrlPr>
              <w:rPr>
                <w:rFonts w:hint="default" w:ascii="Cambria Math" w:hAnsi="Cambria Math" w:cs="Times New Roman"/>
                <w:i/>
                <w:color w:val="auto"/>
                <w:highlight w:val="none"/>
              </w:rPr>
            </m:ctrlPr>
          </m:dPr>
          <m:e>
            <m:r>
              <m:rPr>
                <m:nor/>
              </m:rPr>
              <w:rPr>
                <w:rFonts w:hint="default" w:ascii="Times New Roman" w:hAnsi="Times New Roman" w:cs="Times New Roman"/>
                <w:i/>
                <w:color w:val="auto"/>
                <w:highlight w:val="none"/>
              </w:rPr>
              <m:t>t</m:t>
            </m:r>
            <m:ctrlPr>
              <w:rPr>
                <w:rFonts w:hint="default" w:ascii="Cambria Math" w:hAnsi="Cambria Math" w:cs="Times New Roman"/>
                <w:i/>
                <w:color w:val="auto"/>
                <w:highlight w:val="none"/>
              </w:rPr>
            </m:ctrlPr>
          </m:e>
        </m:d>
      </m:oMath>
      <w:r>
        <w:rPr>
          <w:color w:val="auto"/>
          <w:highlight w:val="none"/>
        </w:rPr>
        <w:t>表示第</w:t>
      </w:r>
      <m:oMath>
        <m:r>
          <m:rPr>
            <m:nor/>
          </m:rPr>
          <w:rPr>
            <w:rFonts w:hint="default" w:ascii="Times New Roman" w:hAnsi="Times New Roman" w:cs="Times New Roman"/>
            <w:i/>
            <w:color w:val="auto"/>
            <w:highlight w:val="none"/>
          </w:rPr>
          <m:t>j</m:t>
        </m:r>
      </m:oMath>
      <w:r>
        <w:rPr>
          <w:color w:val="auto"/>
          <w:highlight w:val="none"/>
        </w:rPr>
        <w:t>个地级市在时间</w:t>
      </w:r>
      <m:oMath>
        <m:r>
          <m:rPr>
            <m:nor/>
          </m:rPr>
          <w:rPr>
            <w:rFonts w:hint="default" w:ascii="Times New Roman" w:hAnsi="Times New Roman" w:cs="Times New Roman"/>
            <w:i/>
            <w:color w:val="auto"/>
            <w:highlight w:val="none"/>
          </w:rPr>
          <m:t>t</m:t>
        </m:r>
      </m:oMath>
      <w:r>
        <w:rPr>
          <w:color w:val="auto"/>
          <w:highlight w:val="none"/>
        </w:rPr>
        <w:t>的综合得分值</w:t>
      </w:r>
      <w:r>
        <w:rPr>
          <w:rFonts w:hint="eastAsia"/>
          <w:color w:val="auto"/>
          <w:highlight w:val="none"/>
        </w:rPr>
        <w:t>，</w:t>
      </w:r>
      <w:r>
        <w:rPr>
          <w:color w:val="auto"/>
          <w:highlight w:val="none"/>
        </w:rPr>
        <w:t>由于原始数据已经经过标准化处理</w:t>
      </w:r>
      <w:r>
        <w:rPr>
          <w:rFonts w:hint="eastAsia"/>
          <w:color w:val="auto"/>
          <w:highlight w:val="none"/>
        </w:rPr>
        <w:t>，</w:t>
      </w:r>
      <w:r>
        <w:rPr>
          <w:color w:val="auto"/>
          <w:highlight w:val="none"/>
        </w:rPr>
        <w:t>所以</w:t>
      </w:r>
      <m:oMath>
        <m:acc>
          <m:accPr>
            <m:chr m:val="̅"/>
            <m:ctrlPr>
              <w:rPr>
                <w:rFonts w:ascii="Cambria Math" w:hAnsi="Cambria Math"/>
                <w:i/>
                <w:iCs w:val="0"/>
                <w:color w:val="auto"/>
                <w:sz w:val="21"/>
                <w:highlight w:val="none"/>
              </w:rPr>
            </m:ctrlPr>
          </m:accPr>
          <m:e>
            <m:r>
              <m:rPr/>
              <w:rPr>
                <w:rFonts w:hint="default" w:ascii="Cambria Math" w:hAnsi="Cambria Math"/>
                <w:color w:val="auto"/>
                <w:sz w:val="21"/>
                <w:highlight w:val="none"/>
              </w:rPr>
              <m:t>Y</m:t>
            </m:r>
            <m:ctrlPr>
              <w:rPr>
                <w:rFonts w:ascii="Cambria Math" w:hAnsi="Cambria Math"/>
                <w:i/>
                <w:iCs w:val="0"/>
                <w:color w:val="auto"/>
                <w:sz w:val="21"/>
                <w:highlight w:val="none"/>
              </w:rPr>
            </m:ctrlPr>
          </m:e>
        </m:acc>
        <m:r>
          <m:rPr/>
          <w:rPr>
            <w:rFonts w:ascii="Cambria Math" w:hAnsi="Cambria Math"/>
            <w:color w:val="auto"/>
            <w:sz w:val="21"/>
            <w:highlight w:val="none"/>
          </w:rPr>
          <m:t>=</m:t>
        </m:r>
        <m:nary>
          <m:naryPr>
            <m:chr m:val="∑"/>
            <m:limLoc m:val="subSup"/>
            <m:ctrlPr>
              <w:rPr>
                <w:rFonts w:ascii="Cambria Math" w:hAnsi="Cambria Math" w:cs="Times New Roman"/>
                <w:i/>
                <w:iCs w:val="0"/>
                <w:color w:val="auto"/>
                <w:sz w:val="21"/>
                <w:highlight w:val="none"/>
              </w:rPr>
            </m:ctrlPr>
          </m:naryPr>
          <m:sub>
            <m:r>
              <m:rPr/>
              <w:rPr>
                <w:rFonts w:hint="default" w:ascii="Cambria Math" w:hAnsi="Cambria Math" w:cs="Times New Roman"/>
                <w:color w:val="auto"/>
                <w:sz w:val="21"/>
                <w:highlight w:val="none"/>
              </w:rPr>
              <m:t>t=1</m:t>
            </m:r>
            <m:ctrlPr>
              <w:rPr>
                <w:rFonts w:ascii="Cambria Math" w:hAnsi="Cambria Math" w:cs="Times New Roman"/>
                <w:i/>
                <w:iCs w:val="0"/>
                <w:color w:val="auto"/>
                <w:sz w:val="21"/>
                <w:highlight w:val="none"/>
              </w:rPr>
            </m:ctrlPr>
          </m:sub>
          <m:sup>
            <m:r>
              <m:rPr/>
              <w:rPr>
                <w:rFonts w:hint="default" w:ascii="Cambria Math" w:hAnsi="Cambria Math" w:cs="Times New Roman"/>
                <w:color w:val="auto"/>
                <w:sz w:val="21"/>
                <w:highlight w:val="none"/>
              </w:rPr>
              <m:t>T</m:t>
            </m:r>
            <m:ctrlPr>
              <w:rPr>
                <w:rFonts w:ascii="Cambria Math" w:hAnsi="Cambria Math" w:cs="Times New Roman"/>
                <w:i/>
                <w:iCs w:val="0"/>
                <w:color w:val="auto"/>
                <w:sz w:val="21"/>
                <w:highlight w:val="none"/>
              </w:rPr>
            </m:ctrlPr>
          </m:sup>
          <m:e>
            <m:r>
              <m:rPr/>
              <w:rPr>
                <w:rFonts w:ascii="Cambria Math" w:hAnsi="Cambria Math" w:cs="Times New Roman"/>
                <w:color w:val="auto"/>
                <w:sz w:val="21"/>
                <w:highlight w:val="none"/>
              </w:rPr>
              <m:t>[</m:t>
            </m:r>
            <m:nary>
              <m:naryPr>
                <m:chr m:val="∑"/>
                <m:limLoc m:val="subSup"/>
                <m:ctrlPr>
                  <w:rPr>
                    <w:rFonts w:ascii="Cambria Math" w:hAnsi="Cambria Math" w:cs="Times New Roman"/>
                    <w:i/>
                    <w:iCs w:val="0"/>
                    <w:color w:val="auto"/>
                    <w:sz w:val="21"/>
                    <w:highlight w:val="none"/>
                  </w:rPr>
                </m:ctrlPr>
              </m:naryPr>
              <m:sub>
                <m:r>
                  <m:rPr/>
                  <w:rPr>
                    <w:rFonts w:hint="default" w:ascii="Cambria Math" w:hAnsi="Cambria Math" w:cs="Times New Roman"/>
                    <w:color w:val="auto"/>
                    <w:sz w:val="21"/>
                    <w:highlight w:val="none"/>
                  </w:rPr>
                  <m:t>j</m:t>
                </m:r>
                <m:r>
                  <m:rPr/>
                  <w:rPr>
                    <w:rFonts w:ascii="Cambria Math" w:hAnsi="Cambria Math" w:cs="Times New Roman"/>
                    <w:color w:val="auto"/>
                    <w:sz w:val="21"/>
                    <w:highlight w:val="none"/>
                  </w:rPr>
                  <m:t>=1</m:t>
                </m:r>
                <m:ctrlPr>
                  <w:rPr>
                    <w:rFonts w:ascii="Cambria Math" w:hAnsi="Cambria Math" w:cs="Times New Roman"/>
                    <w:i/>
                    <w:iCs w:val="0"/>
                    <w:color w:val="auto"/>
                    <w:sz w:val="21"/>
                    <w:highlight w:val="none"/>
                  </w:rPr>
                </m:ctrlPr>
              </m:sub>
              <m:sup>
                <m:r>
                  <m:rPr/>
                  <w:rPr>
                    <w:rFonts w:hint="default" w:ascii="Cambria Math" w:hAnsi="Cambria Math" w:cs="Times New Roman"/>
                    <w:color w:val="auto"/>
                    <w:sz w:val="21"/>
                    <w:highlight w:val="none"/>
                    <w:lang w:val="en-US" w:eastAsia="zh-CN"/>
                  </w:rPr>
                  <m:t>m</m:t>
                </m:r>
                <m:ctrlPr>
                  <w:rPr>
                    <w:rFonts w:ascii="Cambria Math" w:hAnsi="Cambria Math" w:cs="Times New Roman"/>
                    <w:i/>
                    <w:iCs w:val="0"/>
                    <w:color w:val="auto"/>
                    <w:sz w:val="21"/>
                    <w:highlight w:val="none"/>
                  </w:rPr>
                </m:ctrlPr>
              </m:sup>
              <m:e>
                <m:nary>
                  <m:naryPr>
                    <m:chr m:val="∑"/>
                    <m:limLoc m:val="subSup"/>
                    <m:ctrlPr>
                      <w:rPr>
                        <w:rFonts w:hint="default" w:ascii="Cambria Math" w:hAnsi="Cambria Math" w:cs="Times New Roman"/>
                        <w:i/>
                        <w:iCs w:val="0"/>
                        <w:color w:val="auto"/>
                        <w:sz w:val="21"/>
                        <w:highlight w:val="none"/>
                      </w:rPr>
                    </m:ctrlPr>
                  </m:naryPr>
                  <m:sub>
                    <m:r>
                      <m:rPr/>
                      <w:rPr>
                        <w:rFonts w:hint="default" w:ascii="Cambria Math" w:hAnsi="Cambria Math" w:cs="Times New Roman"/>
                        <w:color w:val="auto"/>
                        <w:sz w:val="21"/>
                        <w:highlight w:val="none"/>
                      </w:rPr>
                      <m:t>i=1</m:t>
                    </m:r>
                    <m:ctrlPr>
                      <w:rPr>
                        <w:rFonts w:hint="default" w:ascii="Cambria Math" w:hAnsi="Cambria Math" w:cs="Times New Roman"/>
                        <w:i/>
                        <w:iCs w:val="0"/>
                        <w:color w:val="auto"/>
                        <w:sz w:val="21"/>
                        <w:highlight w:val="none"/>
                      </w:rPr>
                    </m:ctrlPr>
                  </m:sub>
                  <m:sup>
                    <m:r>
                      <m:rPr/>
                      <w:rPr>
                        <w:rFonts w:hint="default" w:ascii="Cambria Math" w:hAnsi="Cambria Math" w:cs="Times New Roman"/>
                        <w:color w:val="auto"/>
                        <w:sz w:val="21"/>
                        <w:highlight w:val="none"/>
                      </w:rPr>
                      <m:t>n</m:t>
                    </m:r>
                    <m:ctrlPr>
                      <w:rPr>
                        <w:rFonts w:hint="default" w:ascii="Cambria Math" w:hAnsi="Cambria Math" w:cs="Times New Roman"/>
                        <w:i/>
                        <w:iCs w:val="0"/>
                        <w:color w:val="auto"/>
                        <w:sz w:val="21"/>
                        <w:highlight w:val="none"/>
                      </w:rPr>
                    </m:ctrlPr>
                  </m:sup>
                  <m:e>
                    <m:sSub>
                      <m:sSubPr>
                        <m:ctrlPr>
                          <w:rPr>
                            <w:rFonts w:hint="default" w:ascii="Cambria Math" w:hAnsi="Cambria Math" w:cs="Times New Roman"/>
                            <w:i/>
                            <w:iCs w:val="0"/>
                            <w:color w:val="auto"/>
                            <w:sz w:val="21"/>
                            <w:highlight w:val="none"/>
                          </w:rPr>
                        </m:ctrlPr>
                      </m:sSubPr>
                      <m:e>
                        <m:r>
                          <m:rPr/>
                          <w:rPr>
                            <w:rFonts w:hint="default" w:ascii="Cambria Math" w:hAnsi="Cambria Math" w:cs="Times New Roman"/>
                            <w:color w:val="auto"/>
                            <w:sz w:val="21"/>
                            <w:highlight w:val="none"/>
                          </w:rPr>
                          <m:t>ω</m:t>
                        </m:r>
                        <m:ctrlPr>
                          <w:rPr>
                            <w:rFonts w:hint="default" w:ascii="Cambria Math" w:hAnsi="Cambria Math" w:cs="Times New Roman"/>
                            <w:i/>
                            <w:iCs w:val="0"/>
                            <w:color w:val="auto"/>
                            <w:sz w:val="21"/>
                            <w:highlight w:val="none"/>
                          </w:rPr>
                        </m:ctrlPr>
                      </m:e>
                      <m:sub>
                        <m:r>
                          <m:rPr/>
                          <w:rPr>
                            <w:rFonts w:hint="default" w:ascii="Cambria Math" w:hAnsi="Cambria Math" w:cs="Times New Roman"/>
                            <w:color w:val="auto"/>
                            <w:sz w:val="21"/>
                            <w:highlight w:val="none"/>
                          </w:rPr>
                          <m:t>i</m:t>
                        </m:r>
                        <m:ctrlPr>
                          <w:rPr>
                            <w:rFonts w:hint="default" w:ascii="Cambria Math" w:hAnsi="Cambria Math" w:cs="Times New Roman"/>
                            <w:i/>
                            <w:iCs w:val="0"/>
                            <w:color w:val="auto"/>
                            <w:sz w:val="21"/>
                            <w:highlight w:val="none"/>
                          </w:rPr>
                        </m:ctrlPr>
                      </m:sub>
                    </m:sSub>
                    <m:sSub>
                      <m:sSubPr>
                        <m:ctrlPr>
                          <w:rPr>
                            <w:rFonts w:hint="default" w:ascii="Cambria Math" w:hAnsi="Cambria Math" w:cs="Times New Roman"/>
                            <w:i/>
                            <w:iCs w:val="0"/>
                            <w:color w:val="auto"/>
                            <w:sz w:val="21"/>
                            <w:highlight w:val="none"/>
                          </w:rPr>
                        </m:ctrlPr>
                      </m:sSubPr>
                      <m:e>
                        <m:r>
                          <m:rPr/>
                          <w:rPr>
                            <w:rFonts w:hint="default" w:ascii="Cambria Math" w:hAnsi="Cambria Math" w:cs="Times New Roman"/>
                            <w:color w:val="auto"/>
                            <w:sz w:val="21"/>
                            <w:highlight w:val="none"/>
                          </w:rPr>
                          <m:t>X</m:t>
                        </m:r>
                        <m:ctrlPr>
                          <w:rPr>
                            <w:rFonts w:hint="default" w:ascii="Cambria Math" w:hAnsi="Cambria Math" w:cs="Times New Roman"/>
                            <w:i/>
                            <w:iCs w:val="0"/>
                            <w:color w:val="auto"/>
                            <w:sz w:val="21"/>
                            <w:highlight w:val="none"/>
                          </w:rPr>
                        </m:ctrlPr>
                      </m:e>
                      <m:sub>
                        <m:r>
                          <m:rPr/>
                          <w:rPr>
                            <w:rFonts w:hint="default" w:ascii="Cambria Math" w:hAnsi="Cambria Math" w:cs="Times New Roman"/>
                            <w:color w:val="auto"/>
                            <w:sz w:val="21"/>
                            <w:highlight w:val="none"/>
                          </w:rPr>
                          <m:t>ij</m:t>
                        </m:r>
                        <m:ctrlPr>
                          <w:rPr>
                            <w:rFonts w:hint="default" w:ascii="Cambria Math" w:hAnsi="Cambria Math" w:cs="Times New Roman"/>
                            <w:i/>
                            <w:iCs w:val="0"/>
                            <w:color w:val="auto"/>
                            <w:sz w:val="21"/>
                            <w:highlight w:val="none"/>
                          </w:rPr>
                        </m:ctrlPr>
                      </m:sub>
                    </m:sSub>
                    <m:r>
                      <m:rPr/>
                      <w:rPr>
                        <w:rFonts w:hint="default" w:ascii="Cambria Math" w:hAnsi="Cambria Math" w:cs="Times New Roman"/>
                        <w:color w:val="auto"/>
                        <w:sz w:val="21"/>
                        <w:highlight w:val="none"/>
                      </w:rPr>
                      <m:t>(t)/</m:t>
                    </m:r>
                    <m:r>
                      <m:rPr/>
                      <w:rPr>
                        <w:rFonts w:hint="default" w:ascii="Cambria Math" w:hAnsi="Cambria Math" w:cs="Times New Roman"/>
                        <w:color w:val="auto"/>
                        <w:sz w:val="21"/>
                        <w:szCs w:val="21"/>
                        <w:highlight w:val="none"/>
                        <w:lang w:val="en-US" w:eastAsia="zh-CN"/>
                      </w:rPr>
                      <m:t>n</m:t>
                    </m:r>
                    <m:ctrlPr>
                      <w:rPr>
                        <w:rFonts w:hint="default" w:ascii="Cambria Math" w:hAnsi="Cambria Math" w:cs="Times New Roman"/>
                        <w:i/>
                        <w:iCs w:val="0"/>
                        <w:color w:val="auto"/>
                        <w:sz w:val="21"/>
                        <w:highlight w:val="none"/>
                      </w:rPr>
                    </m:ctrlPr>
                  </m:e>
                </m:nary>
                <m:r>
                  <m:rPr/>
                  <w:rPr>
                    <w:rFonts w:hint="default" w:ascii="Cambria Math" w:hAnsi="Cambria Math" w:cs="Times New Roman"/>
                    <w:color w:val="auto"/>
                    <w:sz w:val="21"/>
                    <w:highlight w:val="none"/>
                  </w:rPr>
                  <m:t>]/T=0</m:t>
                </m:r>
                <m:ctrlPr>
                  <w:rPr>
                    <w:rFonts w:ascii="Cambria Math" w:hAnsi="Cambria Math" w:cs="Times New Roman"/>
                    <w:i/>
                    <w:iCs w:val="0"/>
                    <w:color w:val="auto"/>
                    <w:sz w:val="21"/>
                    <w:highlight w:val="none"/>
                  </w:rPr>
                </m:ctrlPr>
              </m:e>
            </m:nary>
            <m:ctrlPr>
              <w:rPr>
                <w:rFonts w:ascii="Cambria Math" w:hAnsi="Cambria Math" w:cs="Times New Roman"/>
                <w:i/>
                <w:iCs w:val="0"/>
                <w:color w:val="auto"/>
                <w:sz w:val="21"/>
                <w:highlight w:val="none"/>
              </w:rPr>
            </m:ctrlPr>
          </m:e>
        </m:nary>
      </m:oMath>
      <w:r>
        <w:rPr>
          <w:rFonts w:hint="eastAsia"/>
          <w:color w:val="auto"/>
          <w:highlight w:val="none"/>
        </w:rPr>
        <w:t>。</w:t>
      </w:r>
    </w:p>
    <w:p w14:paraId="050D9618">
      <w:pPr>
        <w:spacing w:line="440" w:lineRule="exact"/>
        <w:ind w:firstLine="446"/>
        <w:rPr>
          <w:color w:val="000000" w:themeColor="text1"/>
          <w14:textFill>
            <w14:solidFill>
              <w14:schemeClr w14:val="tx1"/>
            </w14:solidFill>
          </w14:textFill>
        </w:rPr>
      </w:pPr>
      <w:r>
        <w:rPr>
          <w:color w:val="000000" w:themeColor="text1"/>
          <w14:textFill>
            <w14:solidFill>
              <w14:schemeClr w14:val="tx1"/>
            </w14:solidFill>
          </w14:textFill>
        </w:rPr>
        <w:t>③</w:t>
      </w:r>
      <w:r>
        <w:rPr>
          <w:rFonts w:hint="eastAsia"/>
          <w:color w:val="000000" w:themeColor="text1"/>
          <w14:textFill>
            <w14:solidFill>
              <w14:schemeClr w14:val="tx1"/>
            </w14:solidFill>
          </w14:textFill>
        </w:rPr>
        <w:t>计算指标权重。根据上步计算的标准特征向量确定具体指标权重</w:t>
      </w:r>
      <m:oMath>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ω</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j</m:t>
            </m:r>
            <m:ctrlPr>
              <w:rPr>
                <w:rFonts w:ascii="Cambria Math" w:hAnsi="Cambria Math"/>
                <w:i/>
                <w:color w:val="000000" w:themeColor="text1"/>
                <w14:textFill>
                  <w14:solidFill>
                    <w14:schemeClr w14:val="tx1"/>
                  </w14:solidFill>
                </w14:textFill>
              </w:rPr>
            </m:ctrlPr>
          </m:sub>
        </m:sSub>
      </m:oMath>
      <w:r>
        <w:rPr>
          <w:color w:val="000000" w:themeColor="text1"/>
          <w14:textFill>
            <w14:solidFill>
              <w14:schemeClr w14:val="tx1"/>
            </w14:solidFill>
          </w14:textFill>
        </w:rPr>
        <w:t>：</w:t>
      </w:r>
    </w:p>
    <w:p w14:paraId="47AC76EF">
      <w:pPr>
        <w:spacing w:line="440" w:lineRule="exact"/>
        <w:ind w:firstLine="429"/>
        <w:jc w:val="both"/>
        <w:rPr>
          <w:rFonts w:hint="eastAsia" w:hAnsi="Cambria Math" w:cs="Times New Roman"/>
          <w:i w:val="0"/>
          <w:iCs w:val="0"/>
          <w:color w:val="auto"/>
          <w:highlight w:val="none"/>
          <w:lang w:val="en-US" w:eastAsia="zh-CN"/>
        </w:rPr>
      </w:pPr>
      <m:oMath>
        <m:sSup>
          <m:sSupPr>
            <m:ctrlPr>
              <w:rPr>
                <w:rFonts w:ascii="Cambria Math" w:hAnsi="Cambria Math" w:cs="Times New Roman"/>
                <w:i/>
                <w:iCs w:val="0"/>
                <w:color w:val="auto"/>
                <w:highlight w:val="none"/>
              </w:rPr>
            </m:ctrlPr>
          </m:sSupPr>
          <m:e>
            <m:r>
              <m:rPr/>
              <w:rPr>
                <w:rFonts w:hint="default" w:ascii="Cambria Math" w:hAnsi="Cambria Math" w:cs="Times New Roman"/>
                <w:color w:val="auto"/>
                <w:highlight w:val="none"/>
              </w:rPr>
              <m:t>σ</m:t>
            </m:r>
            <m:ctrlPr>
              <w:rPr>
                <w:rFonts w:ascii="Cambria Math" w:hAnsi="Cambria Math" w:cs="Times New Roman"/>
                <w:i/>
                <w:iCs w:val="0"/>
                <w:color w:val="auto"/>
                <w:highlight w:val="none"/>
              </w:rPr>
            </m:ctrlPr>
          </m:e>
          <m:sup>
            <m:r>
              <m:rPr/>
              <w:rPr>
                <w:rFonts w:ascii="Cambria Math" w:hAnsi="Cambria Math" w:cs="Times New Roman"/>
                <w:color w:val="auto"/>
                <w:highlight w:val="none"/>
              </w:rPr>
              <m:t>2</m:t>
            </m:r>
            <m:ctrlPr>
              <w:rPr>
                <w:rFonts w:ascii="Cambria Math" w:hAnsi="Cambria Math" w:cs="Times New Roman"/>
                <w:i/>
                <w:iCs w:val="0"/>
                <w:color w:val="auto"/>
                <w:highlight w:val="none"/>
              </w:rPr>
            </m:ctrlPr>
          </m:sup>
        </m:sSup>
        <m:r>
          <m:rPr/>
          <w:rPr>
            <w:rFonts w:ascii="Cambria Math" w:hAnsi="Cambria Math" w:cs="Times New Roman"/>
            <w:color w:val="auto"/>
            <w:highlight w:val="none"/>
          </w:rPr>
          <m:t>=</m:t>
        </m:r>
        <m:nary>
          <m:naryPr>
            <m:chr m:val="∑"/>
            <m:limLoc m:val="undOvr"/>
            <m:ctrlPr>
              <w:rPr>
                <w:rFonts w:ascii="Cambria Math" w:hAnsi="Cambria Math" w:cs="Times New Roman"/>
                <w:i/>
                <w:iCs w:val="0"/>
                <w:color w:val="auto"/>
                <w:highlight w:val="none"/>
              </w:rPr>
            </m:ctrlPr>
          </m:naryPr>
          <m:sub>
            <m:r>
              <m:rPr/>
              <w:rPr>
                <w:rFonts w:hint="default" w:ascii="Cambria Math" w:hAnsi="Cambria Math" w:cs="Times New Roman"/>
                <w:color w:val="auto"/>
                <w:highlight w:val="none"/>
              </w:rPr>
              <m:t>t=</m:t>
            </m:r>
            <m:r>
              <m:rPr/>
              <w:rPr>
                <w:rFonts w:hint="default" w:ascii="Cambria Math" w:hAnsi="Cambria Math" w:cs="Times New Roman"/>
                <w:color w:val="auto"/>
                <w:highlight w:val="none"/>
                <w:lang w:val="en-US" w:eastAsia="zh-CN"/>
              </w:rPr>
              <m:t>1</m:t>
            </m:r>
            <m:ctrlPr>
              <w:rPr>
                <w:rFonts w:ascii="Cambria Math" w:hAnsi="Cambria Math" w:cs="Times New Roman"/>
                <w:i/>
                <w:iCs w:val="0"/>
                <w:color w:val="auto"/>
                <w:highlight w:val="none"/>
              </w:rPr>
            </m:ctrlPr>
          </m:sub>
          <m:sup>
            <m:r>
              <m:rPr/>
              <w:rPr>
                <w:rFonts w:hint="default" w:ascii="Cambria Math" w:hAnsi="Cambria Math" w:cs="Times New Roman"/>
                <w:color w:val="auto"/>
                <w:highlight w:val="none"/>
                <w:lang w:val="en-US" w:eastAsia="zh-CN"/>
              </w:rPr>
              <m:t>T</m:t>
            </m:r>
            <m:ctrlPr>
              <w:rPr>
                <w:rFonts w:ascii="Cambria Math" w:hAnsi="Cambria Math" w:cs="Times New Roman"/>
                <w:i/>
                <w:iCs w:val="0"/>
                <w:color w:val="auto"/>
                <w:highlight w:val="none"/>
              </w:rPr>
            </m:ctrlPr>
          </m:sup>
          <m:e>
            <m:nary>
              <m:naryPr>
                <m:chr m:val="∑"/>
                <m:limLoc m:val="undOvr"/>
                <m:ctrlPr>
                  <w:rPr>
                    <w:rFonts w:ascii="Cambria Math" w:hAnsi="Cambria Math" w:cs="Times New Roman"/>
                    <w:i/>
                    <w:iCs w:val="0"/>
                    <w:color w:val="auto"/>
                    <w:highlight w:val="none"/>
                  </w:rPr>
                </m:ctrlPr>
              </m:naryPr>
              <m:sub>
                <m:r>
                  <m:rPr/>
                  <w:rPr>
                    <w:rFonts w:hint="default" w:ascii="Cambria Math" w:hAnsi="Cambria Math" w:cs="Times New Roman"/>
                    <w:color w:val="auto"/>
                    <w:highlight w:val="none"/>
                  </w:rPr>
                  <m:t>i=1</m:t>
                </m:r>
                <m:ctrlPr>
                  <w:rPr>
                    <w:rFonts w:ascii="Cambria Math" w:hAnsi="Cambria Math" w:cs="Times New Roman"/>
                    <w:i/>
                    <w:iCs w:val="0"/>
                    <w:color w:val="auto"/>
                    <w:highlight w:val="none"/>
                  </w:rPr>
                </m:ctrlPr>
              </m:sub>
              <m:sup>
                <m:r>
                  <m:rPr/>
                  <w:rPr>
                    <w:rFonts w:hint="default" w:ascii="Cambria Math" w:hAnsi="Cambria Math" w:cs="Times New Roman"/>
                    <w:color w:val="auto"/>
                    <w:highlight w:val="none"/>
                  </w:rPr>
                  <m:t>n</m:t>
                </m:r>
                <m:ctrlPr>
                  <w:rPr>
                    <w:rFonts w:ascii="Cambria Math" w:hAnsi="Cambria Math" w:cs="Times New Roman"/>
                    <w:i/>
                    <w:iCs w:val="0"/>
                    <w:color w:val="auto"/>
                    <w:highlight w:val="none"/>
                  </w:rPr>
                </m:ctrlPr>
              </m:sup>
              <m:e>
                <m:sSup>
                  <m:sSupPr>
                    <m:ctrlPr>
                      <w:rPr>
                        <w:rFonts w:ascii="Cambria Math" w:hAnsi="Cambria Math" w:cs="Times New Roman"/>
                        <w:i/>
                        <w:iCs w:val="0"/>
                        <w:color w:val="auto"/>
                        <w:highlight w:val="none"/>
                      </w:rPr>
                    </m:ctrlPr>
                  </m:sSupPr>
                  <m:e>
                    <m:d>
                      <m:dPr>
                        <m:begChr m:val="["/>
                        <m:endChr m:val="]"/>
                        <m:ctrlPr>
                          <w:rPr>
                            <w:rFonts w:ascii="Cambria Math" w:hAnsi="Cambria Math" w:cs="Times New Roman"/>
                            <w:i/>
                            <w:iCs w:val="0"/>
                            <w:color w:val="auto"/>
                            <w:highlight w:val="none"/>
                          </w:rPr>
                        </m:ctrlPr>
                      </m:dPr>
                      <m:e>
                        <m:sSub>
                          <m:sSubPr>
                            <m:ctrlPr>
                              <w:rPr>
                                <w:rFonts w:ascii="Cambria Math" w:hAnsi="Cambria Math" w:cs="Times New Roman"/>
                                <w:i/>
                                <w:iCs w:val="0"/>
                                <w:color w:val="auto"/>
                                <w:highlight w:val="none"/>
                              </w:rPr>
                            </m:ctrlPr>
                          </m:sSubPr>
                          <m:e>
                            <m:r>
                              <m:rPr/>
                              <w:rPr>
                                <w:rFonts w:hint="default" w:ascii="Cambria Math" w:hAnsi="Cambria Math" w:cs="Times New Roman"/>
                                <w:color w:val="auto"/>
                                <w:highlight w:val="none"/>
                              </w:rPr>
                              <m:t>Y</m:t>
                            </m:r>
                            <m:ctrlPr>
                              <w:rPr>
                                <w:rFonts w:ascii="Cambria Math" w:hAnsi="Cambria Math" w:cs="Times New Roman"/>
                                <w:i/>
                                <w:iCs w:val="0"/>
                                <w:color w:val="auto"/>
                                <w:highlight w:val="none"/>
                              </w:rPr>
                            </m:ctrlPr>
                          </m:e>
                          <m:sub>
                            <m:r>
                              <m:rPr/>
                              <w:rPr>
                                <w:rFonts w:hint="default" w:ascii="Cambria Math" w:hAnsi="Cambria Math" w:cs="Times New Roman"/>
                                <w:color w:val="auto"/>
                                <w:highlight w:val="none"/>
                              </w:rPr>
                              <m:t>j</m:t>
                            </m:r>
                            <m:ctrlPr>
                              <w:rPr>
                                <w:rFonts w:ascii="Cambria Math" w:hAnsi="Cambria Math" w:cs="Times New Roman"/>
                                <w:i/>
                                <w:iCs w:val="0"/>
                                <w:color w:val="auto"/>
                                <w:highlight w:val="none"/>
                              </w:rPr>
                            </m:ctrlPr>
                          </m:sub>
                        </m:sSub>
                        <m:d>
                          <m:dPr>
                            <m:ctrlPr>
                              <w:rPr>
                                <w:rFonts w:ascii="Cambria Math" w:hAnsi="Cambria Math" w:cs="Times New Roman"/>
                                <w:i/>
                                <w:iCs w:val="0"/>
                                <w:color w:val="auto"/>
                                <w:highlight w:val="none"/>
                              </w:rPr>
                            </m:ctrlPr>
                          </m:dPr>
                          <m:e>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e>
                        </m:d>
                        <m:ctrlPr>
                          <w:rPr>
                            <w:rFonts w:ascii="Cambria Math" w:hAnsi="Cambria Math" w:cs="Times New Roman"/>
                            <w:i/>
                            <w:iCs w:val="0"/>
                            <w:color w:val="auto"/>
                            <w:highlight w:val="none"/>
                          </w:rPr>
                        </m:ctrlPr>
                      </m:e>
                    </m:d>
                    <m:ctrlPr>
                      <w:rPr>
                        <w:rFonts w:ascii="Cambria Math" w:hAnsi="Cambria Math" w:cs="Times New Roman"/>
                        <w:i/>
                        <w:iCs w:val="0"/>
                        <w:color w:val="auto"/>
                        <w:highlight w:val="none"/>
                      </w:rPr>
                    </m:ctrlPr>
                  </m:e>
                  <m:sup>
                    <m:r>
                      <m:rPr>
                        <m:nor/>
                        <m:sty m:val="p"/>
                      </m:rPr>
                      <w:rPr>
                        <w:rFonts w:hint="default" w:ascii="Times New Roman" w:hAnsi="Times New Roman" w:cs="Times New Roman"/>
                        <w:b w:val="0"/>
                        <w:i w:val="0"/>
                        <w:color w:val="auto"/>
                        <w:highlight w:val="none"/>
                      </w:rPr>
                      <m:t>2</m:t>
                    </m:r>
                    <m:ctrlPr>
                      <w:rPr>
                        <w:rFonts w:ascii="Cambria Math" w:hAnsi="Cambria Math" w:cs="Times New Roman"/>
                        <w:i/>
                        <w:iCs w:val="0"/>
                        <w:color w:val="auto"/>
                        <w:highlight w:val="none"/>
                      </w:rPr>
                    </m:ctrlPr>
                  </m:sup>
                </m:sSup>
                <m:r>
                  <m:rPr/>
                  <w:rPr>
                    <w:rFonts w:ascii="Cambria Math" w:hAnsi="Cambria Math" w:cs="Times New Roman"/>
                    <w:color w:val="auto"/>
                    <w:highlight w:val="none"/>
                  </w:rPr>
                  <m:t>=</m:t>
                </m:r>
                <m:ctrlPr>
                  <w:rPr>
                    <w:rFonts w:ascii="Cambria Math" w:hAnsi="Cambria Math" w:cs="Times New Roman"/>
                    <w:i/>
                    <w:iCs w:val="0"/>
                    <w:color w:val="auto"/>
                    <w:highlight w:val="none"/>
                  </w:rPr>
                </m:ctrlPr>
              </m:e>
            </m:nary>
            <m:ctrlPr>
              <w:rPr>
                <w:rFonts w:ascii="Cambria Math" w:hAnsi="Cambria Math" w:cs="Times New Roman"/>
                <w:i/>
                <w:iCs w:val="0"/>
                <w:color w:val="auto"/>
                <w:highlight w:val="none"/>
              </w:rPr>
            </m:ctrlPr>
          </m:e>
        </m:nary>
        <m:nary>
          <m:naryPr>
            <m:chr m:val="∑"/>
            <m:limLoc m:val="undOvr"/>
            <m:ctrlPr>
              <w:rPr>
                <w:rFonts w:ascii="Cambria Math" w:hAnsi="Cambria Math" w:cs="Times New Roman"/>
                <w:i/>
                <w:iCs w:val="0"/>
                <w:color w:val="auto"/>
                <w:highlight w:val="none"/>
              </w:rPr>
            </m:ctrlPr>
          </m:naryPr>
          <m:sub>
            <m:r>
              <m:rPr/>
              <w:rPr>
                <w:rFonts w:hint="default" w:ascii="Cambria Math" w:hAnsi="Cambria Math" w:cs="Times New Roman"/>
                <w:color w:val="auto"/>
                <w:highlight w:val="none"/>
              </w:rPr>
              <m:t>t=</m:t>
            </m:r>
            <m:r>
              <m:rPr/>
              <w:rPr>
                <w:rFonts w:hint="default" w:ascii="Cambria Math" w:hAnsi="Cambria Math" w:cs="Times New Roman"/>
                <w:color w:val="auto"/>
                <w:highlight w:val="none"/>
                <w:lang w:val="en-US" w:eastAsia="zh-CN"/>
              </w:rPr>
              <m:t>1</m:t>
            </m:r>
            <m:ctrlPr>
              <w:rPr>
                <w:rFonts w:ascii="Cambria Math" w:hAnsi="Cambria Math" w:cs="Times New Roman"/>
                <w:i/>
                <w:iCs w:val="0"/>
                <w:color w:val="auto"/>
                <w:highlight w:val="none"/>
              </w:rPr>
            </m:ctrlPr>
          </m:sub>
          <m:sup>
            <m:r>
              <m:rPr/>
              <w:rPr>
                <w:rFonts w:hint="default" w:ascii="Cambria Math" w:hAnsi="Cambria Math" w:cs="Times New Roman"/>
                <w:color w:val="auto"/>
                <w:highlight w:val="none"/>
                <w:lang w:val="en-US" w:eastAsia="zh-CN"/>
              </w:rPr>
              <m:t>T</m:t>
            </m:r>
            <m:ctrlPr>
              <w:rPr>
                <w:rFonts w:ascii="Cambria Math" w:hAnsi="Cambria Math" w:cs="Times New Roman"/>
                <w:i/>
                <w:iCs w:val="0"/>
                <w:color w:val="auto"/>
                <w:highlight w:val="none"/>
              </w:rPr>
            </m:ctrlPr>
          </m:sup>
          <m:e>
            <m:r>
              <m:rPr/>
              <w:rPr>
                <w:rFonts w:hint="default" w:ascii="Cambria Math" w:hAnsi="Cambria Math" w:cs="Times New Roman"/>
                <w:color w:val="auto"/>
                <w:highlight w:val="none"/>
                <w:lang w:val="en-US" w:eastAsia="zh-CN"/>
              </w:rPr>
              <m:t>[</m:t>
            </m:r>
            <m:sSup>
              <m:sSupPr>
                <m:ctrlPr>
                  <w:rPr>
                    <w:rFonts w:ascii="Cambria Math" w:hAnsi="Cambria Math" w:cs="Times New Roman"/>
                    <w:i/>
                    <w:iCs w:val="0"/>
                    <w:color w:val="auto"/>
                    <w:highlight w:val="none"/>
                  </w:rPr>
                </m:ctrlPr>
              </m:sSupPr>
              <m:e>
                <m:r>
                  <m:rPr/>
                  <w:rPr>
                    <w:rFonts w:hint="default" w:ascii="Cambria Math" w:hAnsi="Cambria Math" w:cs="Times New Roman"/>
                    <w:color w:val="auto"/>
                    <w:highlight w:val="none"/>
                  </w:rPr>
                  <m:t>W</m:t>
                </m:r>
                <m:ctrlPr>
                  <w:rPr>
                    <w:rFonts w:ascii="Cambria Math" w:hAnsi="Cambria Math" w:cs="Times New Roman"/>
                    <w:i/>
                    <w:iCs w:val="0"/>
                    <w:color w:val="auto"/>
                    <w:highlight w:val="none"/>
                  </w:rPr>
                </m:ctrlPr>
              </m:e>
              <m:sup>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p>
            </m:sSup>
            <m:sSub>
              <m:sSubPr>
                <m:ctrlPr>
                  <w:rPr>
                    <w:rFonts w:ascii="Cambria Math" w:hAnsi="Cambria Math" w:cs="Times New Roman"/>
                    <w:i/>
                    <w:iCs w:val="0"/>
                    <w:color w:val="auto"/>
                    <w:highlight w:val="none"/>
                  </w:rPr>
                </m:ctrlPr>
              </m:sSubPr>
              <m:e>
                <m:r>
                  <m:rPr/>
                  <w:rPr>
                    <w:rFonts w:hint="default" w:ascii="Cambria Math" w:hAnsi="Cambria Math" w:cs="Times New Roman"/>
                    <w:color w:val="auto"/>
                    <w:highlight w:val="none"/>
                  </w:rPr>
                  <m:t>H</m:t>
                </m:r>
                <m:ctrlPr>
                  <w:rPr>
                    <w:rFonts w:ascii="Cambria Math" w:hAnsi="Cambria Math" w:cs="Times New Roman"/>
                    <w:i/>
                    <w:iCs w:val="0"/>
                    <w:color w:val="auto"/>
                    <w:highlight w:val="none"/>
                  </w:rPr>
                </m:ctrlPr>
              </m:e>
              <m:sub>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b>
            </m:sSub>
            <m:r>
              <m:rPr/>
              <w:rPr>
                <w:rFonts w:hint="default" w:ascii="Cambria Math" w:hAnsi="Cambria Math" w:cs="Times New Roman"/>
                <w:color w:val="auto"/>
                <w:highlight w:val="none"/>
              </w:rPr>
              <m:t>W</m:t>
            </m:r>
            <m:r>
              <m:rPr/>
              <w:rPr>
                <w:rFonts w:hint="default" w:ascii="Cambria Math" w:hAnsi="Cambria Math" w:cs="Times New Roman"/>
                <w:color w:val="auto"/>
                <w:highlight w:val="none"/>
                <w:lang w:val="en-US" w:eastAsia="zh-CN"/>
              </w:rPr>
              <m:t>]=</m:t>
            </m:r>
            <m:sSup>
              <m:sSupPr>
                <m:ctrlPr>
                  <w:rPr>
                    <w:rFonts w:ascii="Cambria Math" w:hAnsi="Cambria Math" w:cs="Times New Roman"/>
                    <w:i/>
                    <w:iCs w:val="0"/>
                    <w:color w:val="auto"/>
                    <w:highlight w:val="none"/>
                  </w:rPr>
                </m:ctrlPr>
              </m:sSupPr>
              <m:e>
                <m:r>
                  <m:rPr/>
                  <w:rPr>
                    <w:rFonts w:hint="default" w:ascii="Cambria Math" w:hAnsi="Cambria Math" w:cs="Times New Roman"/>
                    <w:color w:val="auto"/>
                    <w:highlight w:val="none"/>
                  </w:rPr>
                  <m:t>W</m:t>
                </m:r>
                <m:ctrlPr>
                  <w:rPr>
                    <w:rFonts w:ascii="Cambria Math" w:hAnsi="Cambria Math" w:cs="Times New Roman"/>
                    <w:i/>
                    <w:iCs w:val="0"/>
                    <w:color w:val="auto"/>
                    <w:highlight w:val="none"/>
                  </w:rPr>
                </m:ctrlPr>
              </m:e>
              <m:sup>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p>
            </m:sSup>
            <m:nary>
              <m:naryPr>
                <m:chr m:val="∑"/>
                <m:limLoc m:val="subSup"/>
                <m:ctrlPr>
                  <w:rPr>
                    <w:rFonts w:ascii="Cambria Math" w:hAnsi="Cambria Math" w:cs="Times New Roman"/>
                    <w:i/>
                    <w:iCs w:val="0"/>
                    <w:color w:val="auto"/>
                    <w:highlight w:val="none"/>
                  </w:rPr>
                </m:ctrlPr>
              </m:naryPr>
              <m:sub>
                <m:r>
                  <m:rPr/>
                  <w:rPr>
                    <w:rFonts w:hint="default" w:ascii="Cambria Math" w:hAnsi="Cambria Math" w:cs="Times New Roman"/>
                    <w:color w:val="auto"/>
                    <w:highlight w:val="none"/>
                  </w:rPr>
                  <m:t>t=1</m:t>
                </m:r>
                <m:ctrlPr>
                  <w:rPr>
                    <w:rFonts w:ascii="Cambria Math" w:hAnsi="Cambria Math" w:cs="Times New Roman"/>
                    <w:i/>
                    <w:iCs w:val="0"/>
                    <w:color w:val="auto"/>
                    <w:highlight w:val="none"/>
                  </w:rPr>
                </m:ctrlPr>
              </m:sub>
              <m:sup>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p>
              <m:e>
                <m:sSub>
                  <m:sSubPr>
                    <m:ctrlPr>
                      <w:rPr>
                        <w:rFonts w:ascii="Cambria Math" w:hAnsi="Cambria Math" w:cs="Times New Roman"/>
                        <w:i/>
                        <w:iCs w:val="0"/>
                        <w:color w:val="auto"/>
                        <w:highlight w:val="none"/>
                      </w:rPr>
                    </m:ctrlPr>
                  </m:sSubPr>
                  <m:e>
                    <m:r>
                      <m:rPr/>
                      <w:rPr>
                        <w:rFonts w:hint="default" w:ascii="Cambria Math" w:hAnsi="Cambria Math" w:cs="Times New Roman"/>
                        <w:color w:val="auto"/>
                        <w:highlight w:val="none"/>
                      </w:rPr>
                      <m:t>H</m:t>
                    </m:r>
                    <m:ctrlPr>
                      <w:rPr>
                        <w:rFonts w:ascii="Cambria Math" w:hAnsi="Cambria Math" w:cs="Times New Roman"/>
                        <w:i/>
                        <w:iCs w:val="0"/>
                        <w:color w:val="auto"/>
                        <w:highlight w:val="none"/>
                      </w:rPr>
                    </m:ctrlPr>
                  </m:e>
                  <m:sub>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b>
                </m:sSub>
                <m:r>
                  <m:rPr/>
                  <w:rPr>
                    <w:rFonts w:hint="default" w:ascii="Cambria Math" w:hAnsi="Cambria Math" w:cs="Times New Roman"/>
                    <w:color w:val="auto"/>
                    <w:highlight w:val="none"/>
                  </w:rPr>
                  <m:t>W</m:t>
                </m:r>
                <m:ctrlPr>
                  <w:rPr>
                    <w:rFonts w:ascii="Cambria Math" w:hAnsi="Cambria Math" w:cs="Times New Roman"/>
                    <w:i/>
                    <w:iCs w:val="0"/>
                    <w:color w:val="auto"/>
                    <w:highlight w:val="none"/>
                  </w:rPr>
                </m:ctrlPr>
              </m:e>
            </m:nary>
            <m:r>
              <m:rPr/>
              <w:rPr>
                <w:rFonts w:hint="default" w:ascii="Cambria Math" w:hAnsi="Cambria Math" w:cs="Times New Roman"/>
                <w:color w:val="auto"/>
                <w:highlight w:val="none"/>
                <w:lang w:val="en-US" w:eastAsia="zh-CN"/>
              </w:rPr>
              <m:t>=</m:t>
            </m:r>
            <m:sSup>
              <m:sSupPr>
                <m:ctrlPr>
                  <w:rPr>
                    <w:rFonts w:ascii="Cambria Math" w:hAnsi="Cambria Math" w:cs="Times New Roman"/>
                    <w:i/>
                    <w:iCs w:val="0"/>
                    <w:color w:val="auto"/>
                    <w:highlight w:val="none"/>
                  </w:rPr>
                </m:ctrlPr>
              </m:sSupPr>
              <m:e>
                <m:r>
                  <m:rPr/>
                  <w:rPr>
                    <w:rFonts w:hint="default" w:ascii="Cambria Math" w:hAnsi="Cambria Math" w:cs="Times New Roman"/>
                    <w:color w:val="auto"/>
                    <w:highlight w:val="none"/>
                  </w:rPr>
                  <m:t>W</m:t>
                </m:r>
                <m:ctrlPr>
                  <w:rPr>
                    <w:rFonts w:ascii="Cambria Math" w:hAnsi="Cambria Math" w:cs="Times New Roman"/>
                    <w:i/>
                    <w:iCs w:val="0"/>
                    <w:color w:val="auto"/>
                    <w:highlight w:val="none"/>
                  </w:rPr>
                </m:ctrlPr>
              </m:e>
              <m:sup>
                <m:r>
                  <m:rPr/>
                  <w:rPr>
                    <w:rFonts w:hint="default" w:ascii="Cambria Math" w:hAnsi="Cambria Math" w:cs="Times New Roman"/>
                    <w:color w:val="auto"/>
                    <w:highlight w:val="none"/>
                  </w:rPr>
                  <m:t>T</m:t>
                </m:r>
                <m:ctrlPr>
                  <w:rPr>
                    <w:rFonts w:ascii="Cambria Math" w:hAnsi="Cambria Math" w:cs="Times New Roman"/>
                    <w:i/>
                    <w:iCs w:val="0"/>
                    <w:color w:val="auto"/>
                    <w:highlight w:val="none"/>
                  </w:rPr>
                </m:ctrlPr>
              </m:sup>
            </m:sSup>
            <m:r>
              <m:rPr/>
              <w:rPr>
                <w:rFonts w:hint="default" w:ascii="Cambria Math" w:hAnsi="Cambria Math" w:cs="Times New Roman"/>
                <w:color w:val="auto"/>
                <w:highlight w:val="none"/>
                <w:lang w:val="en-US" w:eastAsia="zh-CN"/>
              </w:rPr>
              <m:t>H</m:t>
            </m:r>
            <m:r>
              <m:rPr/>
              <w:rPr>
                <w:rFonts w:hint="default" w:ascii="Cambria Math" w:hAnsi="Cambria Math" w:cs="Times New Roman"/>
                <w:color w:val="auto"/>
                <w:highlight w:val="none"/>
              </w:rPr>
              <m:t>W</m:t>
            </m:r>
            <m:ctrlPr>
              <w:rPr>
                <w:rFonts w:ascii="Cambria Math" w:hAnsi="Cambria Math" w:cs="Times New Roman"/>
                <w:i/>
                <w:iCs w:val="0"/>
                <w:color w:val="auto"/>
                <w:highlight w:val="none"/>
              </w:rPr>
            </m:ctrlPr>
          </m:e>
        </m:nary>
      </m:oMath>
      <w:r>
        <w:rPr>
          <w:rFonts w:hint="eastAsia" w:cs="Times New Roman"/>
          <w:i/>
          <w:iCs w:val="0"/>
          <w:color w:val="auto"/>
          <w:highlight w:val="none"/>
        </w:rPr>
        <w:t xml:space="preserve">   </w:t>
      </w:r>
      <w:r>
        <w:rPr>
          <w:rFonts w:hint="eastAsia" w:cs="Times New Roman"/>
          <w:i/>
          <w:iCs w:val="0"/>
          <w:color w:val="auto"/>
          <w:highlight w:val="none"/>
          <w:lang w:val="en-US" w:eastAsia="zh-CN"/>
        </w:rPr>
        <w:t xml:space="preserve">          </w:t>
      </w:r>
      <w:r>
        <w:rPr>
          <w:rFonts w:hint="eastAsia" w:cs="Times New Roman"/>
          <w:i w:val="0"/>
          <w:iCs/>
          <w:color w:val="auto"/>
          <w:highlight w:val="none"/>
          <w:lang w:eastAsia="zh-CN"/>
        </w:rPr>
        <w:t>（</w:t>
      </w:r>
      <w:r>
        <w:rPr>
          <w:rFonts w:hint="eastAsia"/>
          <w:color w:val="000000" w:themeColor="text1"/>
          <w14:textFill>
            <w14:solidFill>
              <w14:schemeClr w14:val="tx1"/>
            </w14:solidFill>
          </w14:textFill>
        </w:rPr>
        <w:t>A</w:t>
      </w:r>
      <w:r>
        <w:rPr>
          <w:rFonts w:hint="eastAsia"/>
          <w:color w:val="000000" w:themeColor="text1"/>
          <w:lang w:val="en-US" w:eastAsia="zh-CN"/>
          <w14:textFill>
            <w14:solidFill>
              <w14:schemeClr w14:val="tx1"/>
            </w14:solidFill>
          </w14:textFill>
        </w:rPr>
        <w:t>4</w:t>
      </w:r>
      <w:r>
        <w:rPr>
          <w:rFonts w:hint="eastAsia" w:cs="Times New Roman"/>
          <w:i w:val="0"/>
          <w:iCs/>
          <w:color w:val="auto"/>
          <w:highlight w:val="none"/>
          <w:lang w:eastAsia="zh-CN"/>
        </w:rPr>
        <w:t>）</w:t>
      </w:r>
    </w:p>
    <w:p w14:paraId="4D3F5176">
      <w:pPr>
        <w:keepNext w:val="0"/>
        <w:keepLines w:val="0"/>
        <w:pageBreakBefore w:val="0"/>
        <w:widowControl w:val="0"/>
        <w:kinsoku/>
        <w:wordWrap/>
        <w:overflowPunct/>
        <w:topLinePunct w:val="0"/>
        <w:autoSpaceDE/>
        <w:autoSpaceDN/>
        <w:bidi w:val="0"/>
        <w:adjustRightInd/>
        <w:snapToGrid/>
        <w:spacing w:line="360" w:lineRule="auto"/>
        <w:ind w:left="0" w:leftChars="0" w:firstLine="444" w:firstLineChars="200"/>
        <w:jc w:val="left"/>
        <w:textAlignment w:val="auto"/>
        <w:rPr>
          <w:rFonts w:hint="default" w:hAnsi="Cambria Math" w:cs="Times New Roman"/>
          <w:i/>
          <w:color w:val="auto"/>
          <w:kern w:val="2"/>
          <w:sz w:val="21"/>
          <w:szCs w:val="21"/>
          <w:highlight w:val="none"/>
          <w:lang w:val="en-US" w:eastAsia="zh-CN" w:bidi="ar-SA"/>
        </w:rPr>
      </w:pPr>
      <w:r>
        <w:rPr>
          <w:rFonts w:hint="eastAsia" w:cs="Times New Roman"/>
          <w:color w:val="auto"/>
          <w:sz w:val="21"/>
          <w:szCs w:val="21"/>
          <w:highlight w:val="none"/>
          <w:lang w:val="en-US" w:eastAsia="zh-CN"/>
        </w:rPr>
        <w:t>其中，</w:t>
      </w:r>
      <m:oMath>
        <m:r>
          <m:rPr/>
          <w:rPr>
            <w:rFonts w:hint="default" w:ascii="Cambria Math" w:hAnsi="Cambria Math" w:cs="Times New Roman"/>
            <w:color w:val="auto"/>
            <w:kern w:val="2"/>
            <w:sz w:val="21"/>
            <w:szCs w:val="21"/>
            <w:highlight w:val="none"/>
            <w:lang w:val="en-US" w:eastAsia="zh-CN" w:bidi="ar-SA"/>
          </w:rPr>
          <m:t>W=(</m:t>
        </m:r>
        <m:sSub>
          <m:sSubPr>
            <m:ctrlPr>
              <w:rPr>
                <w:rFonts w:hint="default" w:ascii="Cambria Math" w:hAnsi="Cambria Math" w:cs="Times New Roman"/>
                <w:i/>
                <w:iCs/>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w</m:t>
            </m:r>
            <m:ctrlPr>
              <w:rPr>
                <w:rFonts w:hint="default" w:ascii="Cambria Math" w:hAnsi="Cambria Math" w:cs="Times New Roman"/>
                <w:i/>
                <w:iCs/>
                <w:color w:val="auto"/>
                <w:kern w:val="2"/>
                <w:sz w:val="21"/>
                <w:szCs w:val="21"/>
                <w:highlight w:val="none"/>
                <w:lang w:val="en-US" w:eastAsia="zh-CN" w:bidi="ar-SA"/>
              </w:rPr>
            </m:ctrlPr>
          </m:e>
          <m:sub>
            <m:r>
              <m:rPr>
                <m:nor/>
                <m:sty m:val="p"/>
              </m:rPr>
              <w:rPr>
                <w:rFonts w:hint="default" w:ascii="Times New Roman" w:hAnsi="Times New Roman" w:cs="Times New Roman"/>
                <w:b w:val="0"/>
                <w:i w:val="0"/>
                <w:color w:val="auto"/>
                <w:kern w:val="2"/>
                <w:sz w:val="21"/>
                <w:szCs w:val="21"/>
                <w:highlight w:val="none"/>
                <w:lang w:val="en-US" w:eastAsia="zh-CN" w:bidi="ar-SA"/>
              </w:rPr>
              <m:t>1</m:t>
            </m:r>
            <m:ctrlPr>
              <w:rPr>
                <w:rFonts w:hint="default" w:ascii="Cambria Math" w:hAnsi="Cambria Math" w:cs="Times New Roman"/>
                <w:i/>
                <w:iCs/>
                <w:color w:val="auto"/>
                <w:kern w:val="2"/>
                <w:sz w:val="21"/>
                <w:szCs w:val="21"/>
                <w:highlight w:val="none"/>
                <w:lang w:val="en-US" w:eastAsia="zh-CN" w:bidi="ar-SA"/>
              </w:rPr>
            </m:ctrlPr>
          </m:sub>
        </m:sSub>
        <m:r>
          <m:rPr/>
          <w:rPr>
            <w:rFonts w:hint="eastAsia" w:ascii="Cambria Math" w:hAnsi="Cambria Math" w:cs="Times New Roman"/>
            <w:color w:val="auto"/>
            <w:kern w:val="2"/>
            <w:sz w:val="21"/>
            <w:szCs w:val="21"/>
            <w:highlight w:val="none"/>
            <w:lang w:val="en-US" w:eastAsia="zh-CN" w:bidi="ar-SA"/>
          </w:rPr>
          <m:t>，</m:t>
        </m:r>
        <m:sSub>
          <m:sSubPr>
            <m:ctrlPr>
              <w:rPr>
                <w:rFonts w:hint="default" w:ascii="Cambria Math" w:hAnsi="Cambria Math" w:cs="Times New Roman"/>
                <w:i/>
                <w:iCs/>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w</m:t>
            </m:r>
            <m:ctrlPr>
              <w:rPr>
                <w:rFonts w:hint="default" w:ascii="Cambria Math" w:hAnsi="Cambria Math" w:cs="Times New Roman"/>
                <w:i/>
                <w:iCs/>
                <w:color w:val="auto"/>
                <w:kern w:val="2"/>
                <w:sz w:val="21"/>
                <w:szCs w:val="21"/>
                <w:highlight w:val="none"/>
                <w:lang w:val="en-US" w:eastAsia="zh-CN" w:bidi="ar-SA"/>
              </w:rPr>
            </m:ctrlPr>
          </m:e>
          <m:sub>
            <m:r>
              <m:rPr>
                <m:nor/>
                <m:sty m:val="p"/>
              </m:rPr>
              <w:rPr>
                <w:rFonts w:hint="default" w:ascii="Times New Roman" w:hAnsi="Times New Roman" w:cs="Times New Roman"/>
                <w:b w:val="0"/>
                <w:i w:val="0"/>
                <w:color w:val="auto"/>
                <w:kern w:val="2"/>
                <w:sz w:val="21"/>
                <w:szCs w:val="21"/>
                <w:highlight w:val="none"/>
                <w:lang w:val="en-US" w:eastAsia="zh-CN" w:bidi="ar-SA"/>
              </w:rPr>
              <m:t>2</m:t>
            </m:r>
            <m:ctrlPr>
              <w:rPr>
                <w:rFonts w:hint="default" w:ascii="Cambria Math" w:hAnsi="Cambria Math" w:cs="Times New Roman"/>
                <w:i/>
                <w:iCs/>
                <w:color w:val="auto"/>
                <w:kern w:val="2"/>
                <w:sz w:val="21"/>
                <w:szCs w:val="21"/>
                <w:highlight w:val="none"/>
                <w:lang w:val="en-US" w:eastAsia="zh-CN" w:bidi="ar-SA"/>
              </w:rPr>
            </m:ctrlPr>
          </m:sub>
        </m:sSub>
        <m:r>
          <m:rPr/>
          <w:rPr>
            <w:rFonts w:hint="eastAsia" w:ascii="Cambria Math" w:hAnsi="Cambria Math" w:cs="Times New Roman"/>
            <w:color w:val="auto"/>
            <w:kern w:val="2"/>
            <w:sz w:val="21"/>
            <w:szCs w:val="21"/>
            <w:highlight w:val="none"/>
            <w:lang w:val="en-US" w:eastAsia="zh-CN" w:bidi="ar-SA"/>
          </w:rPr>
          <m:t>，</m:t>
        </m:r>
        <m:r>
          <m:rPr/>
          <w:rPr>
            <w:rFonts w:hint="default" w:ascii="Cambria Math" w:hAnsi="Cambria Math" w:cs="Times New Roman"/>
            <w:color w:val="auto"/>
            <w:kern w:val="2"/>
            <w:sz w:val="21"/>
            <w:szCs w:val="21"/>
            <w:highlight w:val="none"/>
            <w:lang w:val="en-US" w:eastAsia="zh-CN" w:bidi="ar-SA"/>
          </w:rPr>
          <m:t>...</m:t>
        </m:r>
        <m:r>
          <m:rPr/>
          <w:rPr>
            <w:rFonts w:hint="eastAsia" w:ascii="Cambria Math" w:hAnsi="Cambria Math" w:cs="Times New Roman"/>
            <w:color w:val="auto"/>
            <w:kern w:val="2"/>
            <w:sz w:val="21"/>
            <w:szCs w:val="21"/>
            <w:highlight w:val="none"/>
            <w:lang w:val="en-US" w:eastAsia="zh-CN" w:bidi="ar-SA"/>
          </w:rPr>
          <m:t>，</m:t>
        </m:r>
        <m:sSub>
          <m:sSubPr>
            <m:ctrlPr>
              <w:rPr>
                <w:rFonts w:hint="default" w:ascii="Cambria Math" w:hAnsi="Cambria Math" w:cs="Times New Roman"/>
                <w:i/>
                <w:iCs/>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w</m:t>
            </m:r>
            <m:ctrlPr>
              <w:rPr>
                <w:rFonts w:hint="default" w:ascii="Cambria Math" w:hAnsi="Cambria Math" w:cs="Times New Roman"/>
                <w:i/>
                <w:iCs/>
                <w:color w:val="auto"/>
                <w:kern w:val="2"/>
                <w:sz w:val="21"/>
                <w:szCs w:val="21"/>
                <w:highlight w:val="none"/>
                <w:lang w:val="en-US" w:eastAsia="zh-CN" w:bidi="ar-SA"/>
              </w:rPr>
            </m:ctrlPr>
          </m:e>
          <m:sub>
            <m:r>
              <m:rPr/>
              <w:rPr>
                <w:rFonts w:hint="default" w:ascii="Cambria Math" w:hAnsi="Cambria Math" w:cs="Times New Roman"/>
                <w:color w:val="auto"/>
                <w:kern w:val="2"/>
                <w:sz w:val="21"/>
                <w:szCs w:val="21"/>
                <w:highlight w:val="none"/>
                <w:lang w:val="en-US" w:eastAsia="zh-CN" w:bidi="ar-SA"/>
              </w:rPr>
              <m:t>m</m:t>
            </m:r>
            <m:ctrlPr>
              <w:rPr>
                <w:rFonts w:hint="default" w:ascii="Cambria Math" w:hAnsi="Cambria Math" w:cs="Times New Roman"/>
                <w:i/>
                <w:iCs/>
                <w:color w:val="auto"/>
                <w:kern w:val="2"/>
                <w:sz w:val="21"/>
                <w:szCs w:val="21"/>
                <w:highlight w:val="none"/>
                <w:lang w:val="en-US" w:eastAsia="zh-CN" w:bidi="ar-SA"/>
              </w:rPr>
            </m:ctrlPr>
          </m:sub>
        </m:sSub>
        <m:sSup>
          <m:sSupPr>
            <m:ctrlPr>
              <w:rPr>
                <w:rFonts w:hint="default" w:ascii="Cambria Math" w:hAnsi="Cambria Math" w:cs="Times New Roman"/>
                <w:i/>
                <w:iCs/>
                <w:color w:val="auto"/>
                <w:kern w:val="2"/>
                <w:sz w:val="21"/>
                <w:szCs w:val="21"/>
                <w:highlight w:val="none"/>
                <w:lang w:val="en-US" w:eastAsia="zh-CN" w:bidi="ar-SA"/>
              </w:rPr>
            </m:ctrlPr>
          </m:sSupPr>
          <m:e>
            <m:r>
              <m:rPr/>
              <w:rPr>
                <w:rFonts w:hint="default" w:ascii="Cambria Math" w:hAnsi="Cambria Math" w:cs="Times New Roman"/>
                <w:color w:val="auto"/>
                <w:kern w:val="2"/>
                <w:sz w:val="21"/>
                <w:szCs w:val="21"/>
                <w:highlight w:val="none"/>
                <w:lang w:val="en-US" w:eastAsia="zh-CN" w:bidi="ar-SA"/>
              </w:rPr>
              <m:t>)</m:t>
            </m:r>
            <m:ctrlPr>
              <w:rPr>
                <w:rFonts w:hint="default" w:ascii="Cambria Math" w:hAnsi="Cambria Math" w:cs="Times New Roman"/>
                <w:i/>
                <w:iCs/>
                <w:color w:val="auto"/>
                <w:kern w:val="2"/>
                <w:sz w:val="21"/>
                <w:szCs w:val="21"/>
                <w:highlight w:val="none"/>
                <w:lang w:val="en-US" w:eastAsia="zh-CN" w:bidi="ar-SA"/>
              </w:rPr>
            </m:ctrlPr>
          </m:e>
          <m:sup>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iCs/>
                <w:color w:val="auto"/>
                <w:kern w:val="2"/>
                <w:sz w:val="21"/>
                <w:szCs w:val="21"/>
                <w:highlight w:val="none"/>
                <w:lang w:val="en-US" w:eastAsia="zh-CN" w:bidi="ar-SA"/>
              </w:rPr>
            </m:ctrlPr>
          </m:sup>
        </m:sSup>
        <m:r>
          <m:rPr/>
          <w:rPr>
            <w:rFonts w:hint="eastAsia" w:ascii="Cambria Math" w:hAnsi="Cambria Math" w:cs="Times New Roman"/>
            <w:color w:val="auto"/>
            <w:kern w:val="2"/>
            <w:sz w:val="21"/>
            <w:szCs w:val="21"/>
            <w:highlight w:val="none"/>
            <w:lang w:val="en-US" w:eastAsia="zh-CN" w:bidi="ar-SA"/>
          </w:rPr>
          <m:t>，</m:t>
        </m:r>
        <m:r>
          <m:rPr/>
          <w:rPr>
            <w:rFonts w:hint="default" w:ascii="Cambria Math" w:hAnsi="Cambria Math" w:cs="Times New Roman"/>
            <w:color w:val="auto"/>
            <w:kern w:val="2"/>
            <w:sz w:val="21"/>
            <w:szCs w:val="21"/>
            <w:highlight w:val="none"/>
            <w:lang w:val="en-US" w:eastAsia="zh-CN" w:bidi="ar-SA"/>
          </w:rPr>
          <m:t>H=</m:t>
        </m:r>
        <m:nary>
          <m:naryPr>
            <m:chr m:val="∑"/>
            <m:limLoc m:val="undOvr"/>
            <m:ctrlPr>
              <w:rPr>
                <w:rFonts w:hint="default" w:ascii="Cambria Math" w:hAnsi="Cambria Math" w:cs="Times New Roman"/>
                <w:i/>
                <w:color w:val="auto"/>
                <w:kern w:val="2"/>
                <w:sz w:val="21"/>
                <w:szCs w:val="21"/>
                <w:highlight w:val="none"/>
                <w:lang w:val="en-US" w:eastAsia="zh-CN" w:bidi="ar-SA"/>
              </w:rPr>
            </m:ctrlPr>
          </m:naryPr>
          <m:sub>
            <m:r>
              <m:rPr/>
              <w:rPr>
                <w:rFonts w:hint="default" w:ascii="Cambria Math" w:hAnsi="Cambria Math" w:cs="Times New Roman"/>
                <w:color w:val="auto"/>
                <w:kern w:val="2"/>
                <w:sz w:val="21"/>
                <w:szCs w:val="21"/>
                <w:highlight w:val="none"/>
                <w:lang w:val="en-US" w:eastAsia="zh-CN" w:bidi="ar-SA"/>
              </w:rPr>
              <m:t>t=1</m:t>
            </m:r>
            <m:ctrlPr>
              <w:rPr>
                <w:rFonts w:hint="default" w:ascii="Cambria Math" w:hAnsi="Cambria Math" w:cs="Times New Roman"/>
                <w:i/>
                <w:color w:val="auto"/>
                <w:kern w:val="2"/>
                <w:sz w:val="21"/>
                <w:szCs w:val="21"/>
                <w:highlight w:val="none"/>
                <w:lang w:val="en-US" w:eastAsia="zh-CN" w:bidi="ar-SA"/>
              </w:rPr>
            </m:ctrlPr>
          </m:sub>
          <m:sup>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color w:val="auto"/>
                <w:kern w:val="2"/>
                <w:sz w:val="21"/>
                <w:szCs w:val="21"/>
                <w:highlight w:val="none"/>
                <w:lang w:val="en-US" w:eastAsia="zh-CN" w:bidi="ar-SA"/>
              </w:rPr>
            </m:ctrlPr>
          </m:sup>
          <m:e>
            <m:sSub>
              <m:sSubPr>
                <m:ctrlPr>
                  <w:rPr>
                    <w:rFonts w:hint="default" w:ascii="Cambria Math" w:hAnsi="Cambria Math" w:cs="Times New Roman"/>
                    <w:i/>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H</m:t>
                </m:r>
                <m:ctrlPr>
                  <w:rPr>
                    <w:rFonts w:hint="default" w:ascii="Cambria Math" w:hAnsi="Cambria Math" w:cs="Times New Roman"/>
                    <w:i/>
                    <w:color w:val="auto"/>
                    <w:kern w:val="2"/>
                    <w:sz w:val="21"/>
                    <w:szCs w:val="21"/>
                    <w:highlight w:val="none"/>
                    <w:lang w:val="en-US" w:eastAsia="zh-CN" w:bidi="ar-SA"/>
                  </w:rPr>
                </m:ctrlPr>
              </m:e>
              <m:sub>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color w:val="auto"/>
                    <w:kern w:val="2"/>
                    <w:sz w:val="21"/>
                    <w:szCs w:val="21"/>
                    <w:highlight w:val="none"/>
                    <w:lang w:val="en-US" w:eastAsia="zh-CN" w:bidi="ar-SA"/>
                  </w:rPr>
                </m:ctrlPr>
              </m:sub>
            </m:sSub>
            <m:ctrlPr>
              <w:rPr>
                <w:rFonts w:hint="default" w:ascii="Cambria Math" w:hAnsi="Cambria Math" w:cs="Times New Roman"/>
                <w:i/>
                <w:color w:val="auto"/>
                <w:kern w:val="2"/>
                <w:sz w:val="21"/>
                <w:szCs w:val="21"/>
                <w:highlight w:val="none"/>
                <w:lang w:val="en-US" w:eastAsia="zh-CN" w:bidi="ar-SA"/>
              </w:rPr>
            </m:ctrlPr>
          </m:e>
        </m:nary>
        <m:r>
          <m:rPr>
            <m:sty m:val="p"/>
          </m:rPr>
          <w:rPr>
            <w:rFonts w:hint="default" w:ascii="Cambria Math" w:hAnsi="Cambria Math" w:cs="Times New Roman"/>
            <w:color w:val="auto"/>
            <w:kern w:val="2"/>
            <w:sz w:val="21"/>
            <w:szCs w:val="21"/>
            <w:highlight w:val="none"/>
            <w:lang w:val="en-US" w:eastAsia="zh-CN" w:bidi="ar-SA"/>
          </w:rPr>
          <m:t>为</m:t>
        </m:r>
        <m:r>
          <m:rPr/>
          <w:rPr>
            <w:rFonts w:hint="default" w:ascii="Cambria Math" w:hAnsi="Cambria Math" w:cs="Times New Roman"/>
            <w:color w:val="auto"/>
            <w:kern w:val="2"/>
            <w:sz w:val="21"/>
            <w:szCs w:val="21"/>
            <w:highlight w:val="none"/>
            <w:lang w:val="en-US" w:eastAsia="zh-CN" w:bidi="ar-SA"/>
          </w:rPr>
          <m:t>m×m</m:t>
        </m:r>
        <m:r>
          <m:rPr>
            <m:sty m:val="p"/>
          </m:rPr>
          <w:rPr>
            <w:rFonts w:hint="default" w:ascii="Cambria Math" w:hAnsi="Cambria Math" w:cs="Times New Roman"/>
            <w:color w:val="auto"/>
            <w:kern w:val="2"/>
            <w:sz w:val="21"/>
            <w:szCs w:val="21"/>
            <w:highlight w:val="none"/>
            <w:lang w:val="en-US" w:eastAsia="zh-CN" w:bidi="ar-SA"/>
          </w:rPr>
          <m:t>对称矩阵</m:t>
        </m:r>
        <m:r>
          <m:rPr/>
          <w:rPr>
            <w:rFonts w:hint="default" w:ascii="Cambria Math" w:hAnsi="Cambria Math" w:cs="Times New Roman"/>
            <w:color w:val="auto"/>
            <w:kern w:val="2"/>
            <w:sz w:val="21"/>
            <w:szCs w:val="21"/>
            <w:highlight w:val="none"/>
            <w:lang w:val="en-US" w:eastAsia="zh-CN" w:bidi="ar-SA"/>
          </w:rPr>
          <m:t>，</m:t>
        </m:r>
      </m:oMath>
    </w:p>
    <w:p w14:paraId="33CF16D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cs="Times New Roman"/>
          <w:color w:val="auto"/>
          <w:highlight w:val="none"/>
        </w:rPr>
      </w:pPr>
      <m:oMath>
        <m:sSub>
          <m:sSubPr>
            <m:ctrlPr>
              <w:rPr>
                <w:rFonts w:ascii="Cambria Math" w:hAnsi="Cambria Math" w:cs="Times New Roman"/>
                <w:i/>
                <w:iCs/>
                <w:color w:val="auto"/>
                <w:kern w:val="2"/>
                <w:sz w:val="18"/>
                <w:szCs w:val="18"/>
                <w:highlight w:val="none"/>
                <w:lang w:val="en-US" w:bidi="ar-SA"/>
              </w:rPr>
            </m:ctrlPr>
          </m:sSubPr>
          <m:e>
            <m:r>
              <m:rPr/>
              <w:rPr>
                <w:rFonts w:hint="default" w:ascii="Cambria Math" w:hAnsi="Cambria Math" w:cs="Times New Roman"/>
                <w:color w:val="auto"/>
                <w:kern w:val="2"/>
                <w:sz w:val="18"/>
                <w:szCs w:val="18"/>
                <w:highlight w:val="none"/>
                <w:lang w:val="en-US" w:eastAsia="zh-CN" w:bidi="ar-SA"/>
              </w:rPr>
              <m:t>X</m:t>
            </m:r>
            <m:ctrlPr>
              <w:rPr>
                <w:rFonts w:ascii="Cambria Math" w:hAnsi="Cambria Math" w:cs="Times New Roman"/>
                <w:i/>
                <w:iCs/>
                <w:color w:val="auto"/>
                <w:kern w:val="2"/>
                <w:sz w:val="18"/>
                <w:szCs w:val="18"/>
                <w:highlight w:val="none"/>
                <w:lang w:val="en-US" w:bidi="ar-SA"/>
              </w:rPr>
            </m:ctrlPr>
          </m:e>
          <m:sub>
            <m:r>
              <m:rPr/>
              <w:rPr>
                <w:rFonts w:hint="default" w:ascii="Cambria Math" w:hAnsi="Cambria Math" w:cs="Times New Roman"/>
                <w:color w:val="auto"/>
                <w:kern w:val="2"/>
                <w:sz w:val="18"/>
                <w:szCs w:val="18"/>
                <w:highlight w:val="none"/>
                <w:lang w:val="en-US" w:eastAsia="zh-CN" w:bidi="ar-SA"/>
              </w:rPr>
              <m:t>t</m:t>
            </m:r>
            <m:ctrlPr>
              <w:rPr>
                <w:rFonts w:ascii="Cambria Math" w:hAnsi="Cambria Math" w:cs="Times New Roman"/>
                <w:i/>
                <w:iCs/>
                <w:color w:val="auto"/>
                <w:kern w:val="2"/>
                <w:sz w:val="18"/>
                <w:szCs w:val="18"/>
                <w:highlight w:val="none"/>
                <w:lang w:val="en-US" w:bidi="ar-SA"/>
              </w:rPr>
            </m:ctrlPr>
          </m:sub>
        </m:sSub>
        <m:r>
          <m:rPr/>
          <w:rPr>
            <w:rFonts w:hint="default" w:ascii="Cambria Math" w:hAnsi="Cambria Math" w:cs="Times New Roman"/>
            <w:color w:val="auto"/>
            <w:kern w:val="2"/>
            <w:sz w:val="18"/>
            <w:szCs w:val="18"/>
            <w:highlight w:val="none"/>
            <w:lang w:val="en-US" w:eastAsia="zh-CN" w:bidi="ar-SA"/>
          </w:rPr>
          <m:t>=</m:t>
        </m:r>
        <m:d>
          <m:dPr>
            <m:begChr m:val="["/>
            <m:endChr m:val="]"/>
            <m:ctrlPr>
              <w:rPr>
                <w:rFonts w:ascii="Cambria Math" w:hAnsi="Cambria Math" w:cs="Times New Roman"/>
                <w:i/>
                <w:iCs/>
                <w:color w:val="auto"/>
                <w:kern w:val="2"/>
                <w:sz w:val="18"/>
                <w:szCs w:val="18"/>
                <w:highlight w:val="none"/>
                <w:lang w:val="en-US" w:bidi="ar-SA"/>
              </w:rPr>
            </m:ctrlPr>
          </m:dPr>
          <m:e>
            <m:m>
              <m:mPr>
                <m:mcs>
                  <m:mc>
                    <m:mcPr>
                      <m:count m:val="3"/>
                      <m:mcJc m:val="center"/>
                    </m:mcPr>
                  </m:mc>
                </m:mcs>
                <m:plcHide m:val="1"/>
                <m:ctrlPr>
                  <w:rPr>
                    <w:rFonts w:ascii="Cambria Math" w:hAnsi="Cambria Math" w:cs="Times New Roman"/>
                    <w:i/>
                    <w:iCs/>
                    <w:color w:val="auto"/>
                    <w:kern w:val="2"/>
                    <w:sz w:val="18"/>
                    <w:szCs w:val="18"/>
                    <w:highlight w:val="none"/>
                    <w:lang w:val="en-US" w:bidi="ar-SA"/>
                  </w:rPr>
                </m:ctrlPr>
              </m:mPr>
              <m:mr>
                <m:e>
                  <m:sSub>
                    <m:sSubPr>
                      <m:ctrlPr>
                        <w:rPr>
                          <w:rFonts w:ascii="Cambria Math" w:hAnsi="Cambria Math" w:cs="Times New Roman"/>
                          <w:i/>
                          <w:iCs/>
                          <w:color w:val="auto"/>
                          <w:kern w:val="2"/>
                          <w:sz w:val="18"/>
                          <w:szCs w:val="18"/>
                          <w:highlight w:val="none"/>
                          <w:lang w:val="en-US" w:bidi="ar-SA"/>
                        </w:rPr>
                      </m:ctrlPr>
                    </m:sSubPr>
                    <m:e>
                      <m:r>
                        <m:rPr/>
                        <w:rPr>
                          <w:rFonts w:hint="default" w:ascii="Cambria Math" w:hAnsi="Cambria Math" w:cs="Times New Roman"/>
                          <w:color w:val="auto"/>
                          <w:kern w:val="2"/>
                          <w:sz w:val="18"/>
                          <w:szCs w:val="18"/>
                          <w:highlight w:val="none"/>
                          <w:lang w:val="en-US" w:eastAsia="zh-CN" w:bidi="ar-SA"/>
                        </w:rPr>
                        <m:t>X</m:t>
                      </m:r>
                      <m:ctrlPr>
                        <w:rPr>
                          <w:rFonts w:ascii="Cambria Math" w:hAnsi="Cambria Math" w:cs="Times New Roman"/>
                          <w:i/>
                          <w:iCs/>
                          <w:color w:val="auto"/>
                          <w:kern w:val="2"/>
                          <w:sz w:val="18"/>
                          <w:szCs w:val="18"/>
                          <w:highlight w:val="none"/>
                          <w:lang w:val="en-US" w:bidi="ar-SA"/>
                        </w:rPr>
                      </m:ctrlPr>
                    </m:e>
                    <m:sub>
                      <m:r>
                        <m:rPr/>
                        <w:rPr>
                          <w:rFonts w:hint="default" w:ascii="Cambria Math" w:hAnsi="Cambria Math" w:cs="Times New Roman"/>
                          <w:color w:val="auto"/>
                          <w:kern w:val="2"/>
                          <w:sz w:val="18"/>
                          <w:szCs w:val="18"/>
                          <w:highlight w:val="none"/>
                          <w:lang w:val="en-US" w:eastAsia="zh-CN" w:bidi="ar-SA"/>
                        </w:rPr>
                        <m:t>11</m:t>
                      </m:r>
                      <m:ctrlPr>
                        <w:rPr>
                          <w:rFonts w:ascii="Cambria Math" w:hAnsi="Cambria Math" w:cs="Times New Roman"/>
                          <w:i/>
                          <w:iCs/>
                          <w:color w:val="auto"/>
                          <w:kern w:val="2"/>
                          <w:sz w:val="18"/>
                          <w:szCs w:val="18"/>
                          <w:highlight w:val="none"/>
                          <w:lang w:val="en-US" w:bidi="ar-SA"/>
                        </w:rPr>
                      </m:ctrlPr>
                    </m:sub>
                  </m:sSub>
                  <m:r>
                    <m:rPr/>
                    <w:rPr>
                      <w:rFonts w:hint="default" w:ascii="Cambria Math" w:hAnsi="Cambria Math" w:cs="Times New Roman"/>
                      <w:color w:val="auto"/>
                      <w:kern w:val="2"/>
                      <w:sz w:val="18"/>
                      <w:szCs w:val="18"/>
                      <w:highlight w:val="none"/>
                      <w:lang w:val="en-US" w:eastAsia="zh-CN" w:bidi="ar-SA"/>
                    </w:rPr>
                    <m:t>(t)</m:t>
                  </m:r>
                  <m:ctrlPr>
                    <w:rPr>
                      <w:rFonts w:ascii="Cambria Math" w:hAnsi="Cambria Math" w:cs="Times New Roman"/>
                      <w:i/>
                      <w:iCs/>
                      <w:color w:val="auto"/>
                      <w:kern w:val="2"/>
                      <w:sz w:val="18"/>
                      <w:szCs w:val="18"/>
                      <w:highlight w:val="none"/>
                      <w:lang w:val="en-US" w:bidi="ar-SA"/>
                    </w:rPr>
                  </m:ctrlPr>
                </m:e>
                <m:e>
                  <m:r>
                    <m:rPr/>
                    <w:rPr>
                      <w:rFonts w:ascii="Cambria Math" w:hAnsi="Cambria Math" w:cs="Times New Roman"/>
                      <w:color w:val="auto"/>
                      <w:kern w:val="2"/>
                      <w:sz w:val="18"/>
                      <w:szCs w:val="18"/>
                      <w:highlight w:val="none"/>
                      <w:lang w:val="en-US" w:bidi="ar-SA"/>
                    </w:rPr>
                    <m:t>⋯</m:t>
                  </m:r>
                  <m:ctrlPr>
                    <w:rPr>
                      <w:rFonts w:ascii="Cambria Math" w:hAnsi="Cambria Math" w:cs="Times New Roman"/>
                      <w:i/>
                      <w:iCs/>
                      <w:color w:val="auto"/>
                      <w:kern w:val="2"/>
                      <w:sz w:val="18"/>
                      <w:szCs w:val="18"/>
                      <w:highlight w:val="none"/>
                      <w:lang w:val="en-US" w:bidi="ar-SA"/>
                    </w:rPr>
                  </m:ctrlPr>
                </m:e>
                <m:e>
                  <m:sSub>
                    <m:sSubPr>
                      <m:ctrlPr>
                        <w:rPr>
                          <w:rFonts w:ascii="Cambria Math" w:hAnsi="Cambria Math" w:cs="Times New Roman"/>
                          <w:i/>
                          <w:iCs/>
                          <w:color w:val="auto"/>
                          <w:kern w:val="2"/>
                          <w:sz w:val="18"/>
                          <w:szCs w:val="18"/>
                          <w:highlight w:val="none"/>
                          <w:lang w:val="en-US" w:bidi="ar-SA"/>
                        </w:rPr>
                      </m:ctrlPr>
                    </m:sSubPr>
                    <m:e>
                      <m:r>
                        <m:rPr/>
                        <w:rPr>
                          <w:rFonts w:hint="default" w:ascii="Cambria Math" w:hAnsi="Cambria Math" w:cs="Times New Roman"/>
                          <w:color w:val="auto"/>
                          <w:kern w:val="2"/>
                          <w:sz w:val="18"/>
                          <w:szCs w:val="18"/>
                          <w:highlight w:val="none"/>
                          <w:lang w:val="en-US" w:eastAsia="zh-CN" w:bidi="ar-SA"/>
                        </w:rPr>
                        <m:t>X</m:t>
                      </m:r>
                      <m:ctrlPr>
                        <w:rPr>
                          <w:rFonts w:ascii="Cambria Math" w:hAnsi="Cambria Math" w:cs="Times New Roman"/>
                          <w:i/>
                          <w:iCs/>
                          <w:color w:val="auto"/>
                          <w:kern w:val="2"/>
                          <w:sz w:val="18"/>
                          <w:szCs w:val="18"/>
                          <w:highlight w:val="none"/>
                          <w:lang w:val="en-US" w:bidi="ar-SA"/>
                        </w:rPr>
                      </m:ctrlPr>
                    </m:e>
                    <m:sub>
                      <m:r>
                        <m:rPr/>
                        <w:rPr>
                          <w:rFonts w:hint="default" w:ascii="Cambria Math" w:hAnsi="Cambria Math" w:cs="Times New Roman"/>
                          <w:color w:val="auto"/>
                          <w:kern w:val="2"/>
                          <w:sz w:val="18"/>
                          <w:szCs w:val="18"/>
                          <w:highlight w:val="none"/>
                          <w:lang w:val="en-US" w:eastAsia="zh-CN" w:bidi="ar-SA"/>
                        </w:rPr>
                        <m:t>1m</m:t>
                      </m:r>
                      <m:ctrlPr>
                        <w:rPr>
                          <w:rFonts w:ascii="Cambria Math" w:hAnsi="Cambria Math" w:cs="Times New Roman"/>
                          <w:i/>
                          <w:iCs/>
                          <w:color w:val="auto"/>
                          <w:kern w:val="2"/>
                          <w:sz w:val="18"/>
                          <w:szCs w:val="18"/>
                          <w:highlight w:val="none"/>
                          <w:lang w:val="en-US" w:bidi="ar-SA"/>
                        </w:rPr>
                      </m:ctrlPr>
                    </m:sub>
                  </m:sSub>
                  <m:r>
                    <m:rPr/>
                    <w:rPr>
                      <w:rFonts w:hint="default" w:ascii="Cambria Math" w:hAnsi="Cambria Math" w:cs="Times New Roman"/>
                      <w:color w:val="auto"/>
                      <w:kern w:val="2"/>
                      <w:sz w:val="18"/>
                      <w:szCs w:val="18"/>
                      <w:highlight w:val="none"/>
                      <w:lang w:val="en-US" w:eastAsia="zh-CN" w:bidi="ar-SA"/>
                    </w:rPr>
                    <m:t>(t)</m:t>
                  </m:r>
                  <m:ctrlPr>
                    <w:rPr>
                      <w:rFonts w:ascii="Cambria Math" w:hAnsi="Cambria Math" w:cs="Times New Roman"/>
                      <w:i/>
                      <w:iCs/>
                      <w:color w:val="auto"/>
                      <w:kern w:val="2"/>
                      <w:sz w:val="18"/>
                      <w:szCs w:val="18"/>
                      <w:highlight w:val="none"/>
                      <w:lang w:val="en-US" w:bidi="ar-SA"/>
                    </w:rPr>
                  </m:ctrlPr>
                </m:e>
              </m:mr>
              <m:mr>
                <m:e>
                  <m:r>
                    <m:rPr/>
                    <w:rPr>
                      <w:rFonts w:ascii="Cambria Math" w:hAnsi="Cambria Math" w:cs="Times New Roman"/>
                      <w:color w:val="auto"/>
                      <w:kern w:val="2"/>
                      <w:sz w:val="18"/>
                      <w:szCs w:val="18"/>
                      <w:highlight w:val="none"/>
                      <w:lang w:val="en-US" w:bidi="ar-SA"/>
                    </w:rPr>
                    <m:t>⋮</m:t>
                  </m:r>
                  <m:ctrlPr>
                    <w:rPr>
                      <w:rFonts w:ascii="Cambria Math" w:hAnsi="Cambria Math" w:cs="Times New Roman"/>
                      <w:i/>
                      <w:iCs/>
                      <w:color w:val="auto"/>
                      <w:kern w:val="2"/>
                      <w:sz w:val="18"/>
                      <w:szCs w:val="18"/>
                      <w:highlight w:val="none"/>
                      <w:lang w:val="en-US" w:bidi="ar-SA"/>
                    </w:rPr>
                  </m:ctrlPr>
                </m:e>
                <m:e>
                  <m:r>
                    <m:rPr/>
                    <w:rPr>
                      <w:rFonts w:ascii="Cambria Math" w:hAnsi="Cambria Math" w:cs="Times New Roman"/>
                      <w:color w:val="auto"/>
                      <w:kern w:val="2"/>
                      <w:sz w:val="18"/>
                      <w:szCs w:val="18"/>
                      <w:highlight w:val="none"/>
                      <w:lang w:val="en-US" w:bidi="ar-SA"/>
                    </w:rPr>
                    <m:t>⋱</m:t>
                  </m:r>
                  <m:ctrlPr>
                    <w:rPr>
                      <w:rFonts w:ascii="Cambria Math" w:hAnsi="Cambria Math" w:cs="Times New Roman"/>
                      <w:i/>
                      <w:iCs/>
                      <w:color w:val="auto"/>
                      <w:kern w:val="2"/>
                      <w:sz w:val="18"/>
                      <w:szCs w:val="18"/>
                      <w:highlight w:val="none"/>
                      <w:lang w:val="en-US" w:bidi="ar-SA"/>
                    </w:rPr>
                  </m:ctrlPr>
                </m:e>
                <m:e>
                  <m:r>
                    <m:rPr/>
                    <w:rPr>
                      <w:rFonts w:ascii="Cambria Math" w:hAnsi="Cambria Math" w:cs="Times New Roman"/>
                      <w:color w:val="auto"/>
                      <w:kern w:val="2"/>
                      <w:sz w:val="18"/>
                      <w:szCs w:val="18"/>
                      <w:highlight w:val="none"/>
                      <w:lang w:val="en-US" w:bidi="ar-SA"/>
                    </w:rPr>
                    <m:t>⋮</m:t>
                  </m:r>
                  <m:ctrlPr>
                    <w:rPr>
                      <w:rFonts w:ascii="Cambria Math" w:hAnsi="Cambria Math" w:cs="Times New Roman"/>
                      <w:i/>
                      <w:iCs/>
                      <w:color w:val="auto"/>
                      <w:kern w:val="2"/>
                      <w:sz w:val="18"/>
                      <w:szCs w:val="18"/>
                      <w:highlight w:val="none"/>
                      <w:lang w:val="en-US" w:bidi="ar-SA"/>
                    </w:rPr>
                  </m:ctrlPr>
                </m:e>
              </m:mr>
              <m:mr>
                <m:e>
                  <m:sSub>
                    <m:sSubPr>
                      <m:ctrlPr>
                        <w:rPr>
                          <w:rFonts w:ascii="Cambria Math" w:hAnsi="Cambria Math" w:cs="Times New Roman"/>
                          <w:i/>
                          <w:iCs/>
                          <w:color w:val="auto"/>
                          <w:kern w:val="2"/>
                          <w:sz w:val="18"/>
                          <w:szCs w:val="18"/>
                          <w:highlight w:val="none"/>
                          <w:lang w:val="en-US" w:bidi="ar-SA"/>
                        </w:rPr>
                      </m:ctrlPr>
                    </m:sSubPr>
                    <m:e>
                      <m:r>
                        <m:rPr/>
                        <w:rPr>
                          <w:rFonts w:hint="default" w:ascii="Cambria Math" w:hAnsi="Cambria Math" w:cs="Times New Roman"/>
                          <w:color w:val="auto"/>
                          <w:kern w:val="2"/>
                          <w:sz w:val="18"/>
                          <w:szCs w:val="18"/>
                          <w:highlight w:val="none"/>
                          <w:lang w:val="en-US" w:eastAsia="zh-CN" w:bidi="ar-SA"/>
                        </w:rPr>
                        <m:t>X</m:t>
                      </m:r>
                      <m:ctrlPr>
                        <w:rPr>
                          <w:rFonts w:ascii="Cambria Math" w:hAnsi="Cambria Math" w:cs="Times New Roman"/>
                          <w:i/>
                          <w:iCs/>
                          <w:color w:val="auto"/>
                          <w:kern w:val="2"/>
                          <w:sz w:val="18"/>
                          <w:szCs w:val="18"/>
                          <w:highlight w:val="none"/>
                          <w:lang w:val="en-US" w:bidi="ar-SA"/>
                        </w:rPr>
                      </m:ctrlPr>
                    </m:e>
                    <m:sub>
                      <m:r>
                        <m:rPr/>
                        <w:rPr>
                          <w:rFonts w:hint="default" w:ascii="Cambria Math" w:hAnsi="Cambria Math" w:cs="Times New Roman"/>
                          <w:color w:val="auto"/>
                          <w:kern w:val="2"/>
                          <w:sz w:val="18"/>
                          <w:szCs w:val="18"/>
                          <w:highlight w:val="none"/>
                          <w:lang w:val="en-US" w:eastAsia="zh-CN" w:bidi="ar-SA"/>
                        </w:rPr>
                        <m:t>n1</m:t>
                      </m:r>
                      <m:ctrlPr>
                        <w:rPr>
                          <w:rFonts w:ascii="Cambria Math" w:hAnsi="Cambria Math" w:cs="Times New Roman"/>
                          <w:i/>
                          <w:iCs/>
                          <w:color w:val="auto"/>
                          <w:kern w:val="2"/>
                          <w:sz w:val="18"/>
                          <w:szCs w:val="18"/>
                          <w:highlight w:val="none"/>
                          <w:lang w:val="en-US" w:bidi="ar-SA"/>
                        </w:rPr>
                      </m:ctrlPr>
                    </m:sub>
                  </m:sSub>
                  <m:r>
                    <m:rPr/>
                    <w:rPr>
                      <w:rFonts w:hint="default" w:ascii="Cambria Math" w:hAnsi="Cambria Math" w:cs="Times New Roman"/>
                      <w:color w:val="auto"/>
                      <w:kern w:val="2"/>
                      <w:sz w:val="18"/>
                      <w:szCs w:val="18"/>
                      <w:highlight w:val="none"/>
                      <w:lang w:val="en-US" w:eastAsia="zh-CN" w:bidi="ar-SA"/>
                    </w:rPr>
                    <m:t>(t)</m:t>
                  </m:r>
                  <m:ctrlPr>
                    <w:rPr>
                      <w:rFonts w:ascii="Cambria Math" w:hAnsi="Cambria Math" w:cs="Times New Roman"/>
                      <w:i/>
                      <w:iCs/>
                      <w:color w:val="auto"/>
                      <w:kern w:val="2"/>
                      <w:sz w:val="18"/>
                      <w:szCs w:val="18"/>
                      <w:highlight w:val="none"/>
                      <w:lang w:val="en-US" w:bidi="ar-SA"/>
                    </w:rPr>
                  </m:ctrlPr>
                </m:e>
                <m:e>
                  <m:r>
                    <m:rPr/>
                    <w:rPr>
                      <w:rFonts w:ascii="Cambria Math" w:hAnsi="Cambria Math" w:cs="Times New Roman"/>
                      <w:color w:val="auto"/>
                      <w:kern w:val="2"/>
                      <w:sz w:val="18"/>
                      <w:szCs w:val="18"/>
                      <w:highlight w:val="none"/>
                      <w:lang w:val="en-US" w:bidi="ar-SA"/>
                    </w:rPr>
                    <m:t>⋯</m:t>
                  </m:r>
                  <m:ctrlPr>
                    <w:rPr>
                      <w:rFonts w:ascii="Cambria Math" w:hAnsi="Cambria Math" w:cs="Times New Roman"/>
                      <w:i/>
                      <w:iCs/>
                      <w:color w:val="auto"/>
                      <w:kern w:val="2"/>
                      <w:sz w:val="18"/>
                      <w:szCs w:val="18"/>
                      <w:highlight w:val="none"/>
                      <w:lang w:val="en-US" w:bidi="ar-SA"/>
                    </w:rPr>
                  </m:ctrlPr>
                </m:e>
                <m:e>
                  <m:sSub>
                    <m:sSubPr>
                      <m:ctrlPr>
                        <w:rPr>
                          <w:rFonts w:ascii="Cambria Math" w:hAnsi="Cambria Math" w:cs="Times New Roman"/>
                          <w:i/>
                          <w:iCs/>
                          <w:color w:val="auto"/>
                          <w:kern w:val="2"/>
                          <w:sz w:val="18"/>
                          <w:szCs w:val="18"/>
                          <w:highlight w:val="none"/>
                          <w:lang w:val="en-US" w:bidi="ar-SA"/>
                        </w:rPr>
                      </m:ctrlPr>
                    </m:sSubPr>
                    <m:e>
                      <m:r>
                        <m:rPr/>
                        <w:rPr>
                          <w:rFonts w:hint="default" w:ascii="Cambria Math" w:hAnsi="Cambria Math" w:cs="Times New Roman"/>
                          <w:color w:val="auto"/>
                          <w:kern w:val="2"/>
                          <w:sz w:val="18"/>
                          <w:szCs w:val="18"/>
                          <w:highlight w:val="none"/>
                          <w:lang w:val="en-US" w:eastAsia="zh-CN" w:bidi="ar-SA"/>
                        </w:rPr>
                        <m:t>X</m:t>
                      </m:r>
                      <m:ctrlPr>
                        <w:rPr>
                          <w:rFonts w:ascii="Cambria Math" w:hAnsi="Cambria Math" w:cs="Times New Roman"/>
                          <w:i/>
                          <w:iCs/>
                          <w:color w:val="auto"/>
                          <w:kern w:val="2"/>
                          <w:sz w:val="18"/>
                          <w:szCs w:val="18"/>
                          <w:highlight w:val="none"/>
                          <w:lang w:val="en-US" w:bidi="ar-SA"/>
                        </w:rPr>
                      </m:ctrlPr>
                    </m:e>
                    <m:sub>
                      <m:r>
                        <m:rPr/>
                        <w:rPr>
                          <w:rFonts w:hint="default" w:ascii="Cambria Math" w:hAnsi="Cambria Math" w:cs="Times New Roman"/>
                          <w:color w:val="auto"/>
                          <w:kern w:val="2"/>
                          <w:sz w:val="18"/>
                          <w:szCs w:val="18"/>
                          <w:highlight w:val="none"/>
                          <w:lang w:val="en-US" w:eastAsia="zh-CN" w:bidi="ar-SA"/>
                        </w:rPr>
                        <m:t>nm</m:t>
                      </m:r>
                      <m:ctrlPr>
                        <w:rPr>
                          <w:rFonts w:ascii="Cambria Math" w:hAnsi="Cambria Math" w:cs="Times New Roman"/>
                          <w:i/>
                          <w:iCs/>
                          <w:color w:val="auto"/>
                          <w:kern w:val="2"/>
                          <w:sz w:val="18"/>
                          <w:szCs w:val="18"/>
                          <w:highlight w:val="none"/>
                          <w:lang w:val="en-US" w:bidi="ar-SA"/>
                        </w:rPr>
                      </m:ctrlPr>
                    </m:sub>
                  </m:sSub>
                  <m:r>
                    <m:rPr/>
                    <w:rPr>
                      <w:rFonts w:hint="default" w:ascii="Cambria Math" w:hAnsi="Cambria Math" w:cs="Times New Roman"/>
                      <w:color w:val="auto"/>
                      <w:kern w:val="2"/>
                      <w:sz w:val="18"/>
                      <w:szCs w:val="18"/>
                      <w:highlight w:val="none"/>
                      <w:lang w:val="en-US" w:eastAsia="zh-CN" w:bidi="ar-SA"/>
                    </w:rPr>
                    <m:t>(t)</m:t>
                  </m:r>
                  <m:ctrlPr>
                    <w:rPr>
                      <w:rFonts w:ascii="Cambria Math" w:hAnsi="Cambria Math" w:cs="Times New Roman"/>
                      <w:i/>
                      <w:iCs/>
                      <w:color w:val="auto"/>
                      <w:kern w:val="2"/>
                      <w:sz w:val="18"/>
                      <w:szCs w:val="18"/>
                      <w:highlight w:val="none"/>
                      <w:lang w:val="en-US" w:bidi="ar-SA"/>
                    </w:rPr>
                  </m:ctrlPr>
                </m:e>
              </m:mr>
            </m:m>
            <m:ctrlPr>
              <w:rPr>
                <w:rFonts w:ascii="Cambria Math" w:hAnsi="Cambria Math" w:cs="Times New Roman"/>
                <w:i/>
                <w:iCs/>
                <w:color w:val="auto"/>
                <w:kern w:val="2"/>
                <w:sz w:val="18"/>
                <w:szCs w:val="18"/>
                <w:highlight w:val="none"/>
                <w:lang w:val="en-US" w:bidi="ar-SA"/>
              </w:rPr>
            </m:ctrlPr>
          </m:e>
        </m:d>
      </m:oMath>
      <w:r>
        <w:rPr>
          <w:rFonts w:hint="eastAsia" w:cs="Times New Roman"/>
          <w:color w:val="auto"/>
          <w:highlight w:val="none"/>
          <w:lang w:eastAsia="zh-CN"/>
        </w:rPr>
        <w:t>，</w:t>
      </w:r>
      <m:oMath>
        <m:r>
          <m:rPr/>
          <w:rPr>
            <w:rFonts w:hint="default" w:ascii="Cambria Math" w:hAnsi="Cambria Math" w:cs="Times New Roman"/>
            <w:color w:val="auto"/>
            <w:kern w:val="2"/>
            <w:sz w:val="21"/>
            <w:szCs w:val="21"/>
            <w:highlight w:val="none"/>
            <w:lang w:val="en-US" w:eastAsia="zh-CN" w:bidi="ar-SA"/>
          </w:rPr>
          <m:t xml:space="preserve"> </m:t>
        </m:r>
        <m:sSub>
          <m:sSubPr>
            <m:ctrlPr>
              <w:rPr>
                <w:rFonts w:hint="eastAsia" w:ascii="Cambria Math" w:hAnsi="Cambria Math" w:cs="Times New Roman"/>
                <w:i/>
                <w:iCs/>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H</m:t>
            </m:r>
            <m:ctrlPr>
              <w:rPr>
                <w:rFonts w:hint="eastAsia" w:ascii="Cambria Math" w:hAnsi="Cambria Math" w:cs="Times New Roman"/>
                <w:i/>
                <w:iCs/>
                <w:color w:val="auto"/>
                <w:kern w:val="2"/>
                <w:sz w:val="21"/>
                <w:szCs w:val="21"/>
                <w:highlight w:val="none"/>
                <w:lang w:val="en-US" w:eastAsia="zh-CN" w:bidi="ar-SA"/>
              </w:rPr>
            </m:ctrlPr>
          </m:e>
          <m:sub>
            <m:r>
              <m:rPr/>
              <w:rPr>
                <w:rFonts w:hint="default" w:ascii="Cambria Math" w:hAnsi="Cambria Math" w:cs="Times New Roman"/>
                <w:color w:val="auto"/>
                <w:kern w:val="2"/>
                <w:sz w:val="21"/>
                <w:szCs w:val="21"/>
                <w:highlight w:val="none"/>
                <w:lang w:val="en-US" w:eastAsia="zh-CN" w:bidi="ar-SA"/>
              </w:rPr>
              <m:t>t</m:t>
            </m:r>
            <m:ctrlPr>
              <w:rPr>
                <w:rFonts w:hint="eastAsia" w:ascii="Cambria Math" w:hAnsi="Cambria Math" w:cs="Times New Roman"/>
                <w:i/>
                <w:iCs/>
                <w:color w:val="auto"/>
                <w:kern w:val="2"/>
                <w:sz w:val="21"/>
                <w:szCs w:val="21"/>
                <w:highlight w:val="none"/>
                <w:lang w:val="en-US" w:eastAsia="zh-CN" w:bidi="ar-SA"/>
              </w:rPr>
            </m:ctrlPr>
          </m:sub>
        </m:sSub>
        <m:r>
          <m:rPr/>
          <w:rPr>
            <w:rFonts w:hint="default" w:ascii="Cambria Math" w:hAnsi="Cambria Math" w:cs="Times New Roman"/>
            <w:color w:val="auto"/>
            <w:kern w:val="2"/>
            <w:sz w:val="21"/>
            <w:szCs w:val="21"/>
            <w:highlight w:val="none"/>
            <w:lang w:val="en-US" w:eastAsia="zh-CN" w:bidi="ar-SA"/>
          </w:rPr>
          <m:t>=</m:t>
        </m:r>
        <m:sSubSup>
          <m:sSubSupPr>
            <m:ctrlPr>
              <w:rPr>
                <w:rFonts w:hint="default" w:ascii="Cambria Math" w:hAnsi="Cambria Math" w:cs="Times New Roman"/>
                <w:i/>
                <w:iCs/>
                <w:color w:val="auto"/>
                <w:kern w:val="2"/>
                <w:sz w:val="21"/>
                <w:szCs w:val="21"/>
                <w:highlight w:val="none"/>
                <w:lang w:val="en-US" w:eastAsia="zh-CN" w:bidi="ar-SA"/>
              </w:rPr>
            </m:ctrlPr>
          </m:sSubSupPr>
          <m:e>
            <m:r>
              <m:rPr/>
              <w:rPr>
                <w:rFonts w:hint="default" w:ascii="Cambria Math" w:hAnsi="Cambria Math" w:cs="Times New Roman"/>
                <w:color w:val="auto"/>
                <w:kern w:val="2"/>
                <w:sz w:val="21"/>
                <w:szCs w:val="21"/>
                <w:highlight w:val="none"/>
                <w:lang w:val="en-US" w:eastAsia="zh-CN" w:bidi="ar-SA"/>
              </w:rPr>
              <m:t>X</m:t>
            </m:r>
            <m:ctrlPr>
              <w:rPr>
                <w:rFonts w:hint="default" w:ascii="Cambria Math" w:hAnsi="Cambria Math" w:cs="Times New Roman"/>
                <w:i/>
                <w:iCs/>
                <w:color w:val="auto"/>
                <w:kern w:val="2"/>
                <w:sz w:val="21"/>
                <w:szCs w:val="21"/>
                <w:highlight w:val="none"/>
                <w:lang w:val="en-US" w:eastAsia="zh-CN" w:bidi="ar-SA"/>
              </w:rPr>
            </m:ctrlPr>
          </m:e>
          <m:sub>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iCs/>
                <w:color w:val="auto"/>
                <w:kern w:val="2"/>
                <w:sz w:val="21"/>
                <w:szCs w:val="21"/>
                <w:highlight w:val="none"/>
                <w:lang w:val="en-US" w:eastAsia="zh-CN" w:bidi="ar-SA"/>
              </w:rPr>
            </m:ctrlPr>
          </m:sub>
          <m:sup>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iCs/>
                <w:color w:val="auto"/>
                <w:kern w:val="2"/>
                <w:sz w:val="21"/>
                <w:szCs w:val="21"/>
                <w:highlight w:val="none"/>
                <w:lang w:val="en-US" w:eastAsia="zh-CN" w:bidi="ar-SA"/>
              </w:rPr>
            </m:ctrlPr>
          </m:sup>
        </m:sSubSup>
        <m:sSub>
          <m:sSubPr>
            <m:ctrlPr>
              <w:rPr>
                <w:rFonts w:hint="default" w:ascii="Cambria Math" w:hAnsi="Cambria Math" w:cs="Times New Roman"/>
                <w:i/>
                <w:iCs/>
                <w:color w:val="auto"/>
                <w:kern w:val="2"/>
                <w:sz w:val="21"/>
                <w:szCs w:val="21"/>
                <w:highlight w:val="none"/>
                <w:lang w:val="en-US" w:eastAsia="zh-CN" w:bidi="ar-SA"/>
              </w:rPr>
            </m:ctrlPr>
          </m:sSubPr>
          <m:e>
            <m:r>
              <m:rPr/>
              <w:rPr>
                <w:rFonts w:hint="default" w:ascii="Cambria Math" w:hAnsi="Cambria Math" w:cs="Times New Roman"/>
                <w:color w:val="auto"/>
                <w:kern w:val="2"/>
                <w:sz w:val="21"/>
                <w:szCs w:val="21"/>
                <w:highlight w:val="none"/>
                <w:lang w:val="en-US" w:eastAsia="zh-CN" w:bidi="ar-SA"/>
              </w:rPr>
              <m:t>X</m:t>
            </m:r>
            <m:ctrlPr>
              <w:rPr>
                <w:rFonts w:hint="default" w:ascii="Cambria Math" w:hAnsi="Cambria Math" w:cs="Times New Roman"/>
                <w:i/>
                <w:iCs/>
                <w:color w:val="auto"/>
                <w:kern w:val="2"/>
                <w:sz w:val="21"/>
                <w:szCs w:val="21"/>
                <w:highlight w:val="none"/>
                <w:lang w:val="en-US" w:eastAsia="zh-CN" w:bidi="ar-SA"/>
              </w:rPr>
            </m:ctrlPr>
          </m:e>
          <m:sub>
            <m:r>
              <m:rPr/>
              <w:rPr>
                <w:rFonts w:hint="default" w:ascii="Cambria Math" w:hAnsi="Cambria Math" w:cs="Times New Roman"/>
                <w:color w:val="auto"/>
                <w:kern w:val="2"/>
                <w:sz w:val="21"/>
                <w:szCs w:val="21"/>
                <w:highlight w:val="none"/>
                <w:lang w:val="en-US" w:eastAsia="zh-CN" w:bidi="ar-SA"/>
              </w:rPr>
              <m:t>t</m:t>
            </m:r>
            <m:ctrlPr>
              <w:rPr>
                <w:rFonts w:hint="default" w:ascii="Cambria Math" w:hAnsi="Cambria Math" w:cs="Times New Roman"/>
                <w:i/>
                <w:iCs/>
                <w:color w:val="auto"/>
                <w:kern w:val="2"/>
                <w:sz w:val="21"/>
                <w:szCs w:val="21"/>
                <w:highlight w:val="none"/>
                <w:lang w:val="en-US" w:eastAsia="zh-CN" w:bidi="ar-SA"/>
              </w:rPr>
            </m:ctrlPr>
          </m:sub>
        </m:sSub>
        <m:r>
          <m:rPr>
            <m:sty m:val="p"/>
          </m:rPr>
          <w:rPr>
            <w:rFonts w:hint="eastAsia" w:ascii="Cambria Math" w:hAnsi="Cambria Math" w:cs="Times New Roman"/>
            <w:color w:val="auto"/>
            <w:kern w:val="2"/>
            <w:sz w:val="21"/>
            <w:szCs w:val="21"/>
            <w:highlight w:val="none"/>
            <w:lang w:val="en-US" w:eastAsia="zh-CN" w:bidi="ar-SA"/>
          </w:rPr>
          <m:t>（</m:t>
        </m:r>
        <m:r>
          <m:rPr/>
          <w:rPr>
            <w:rFonts w:hint="default" w:ascii="Cambria Math" w:hAnsi="Cambria Math" w:cs="Times New Roman"/>
            <w:color w:val="auto"/>
            <w:kern w:val="2"/>
            <w:sz w:val="21"/>
            <w:szCs w:val="21"/>
            <w:highlight w:val="none"/>
            <w:lang w:val="en-US" w:eastAsia="zh-CN" w:bidi="ar-SA"/>
          </w:rPr>
          <m:t>t=</m:t>
        </m:r>
        <m:r>
          <m:rPr>
            <m:sty m:val="p"/>
          </m:rPr>
          <w:rPr>
            <w:rFonts w:hint="default" w:ascii="Times New Roman" w:hAnsi="Times New Roman" w:eastAsia="宋体" w:cs="Times New Roman"/>
            <w:color w:val="auto"/>
            <w:kern w:val="2"/>
            <w:sz w:val="21"/>
            <w:szCs w:val="21"/>
            <w:highlight w:val="none"/>
            <w:lang w:val="en-US" w:eastAsia="zh-CN" w:bidi="ar-SA"/>
          </w:rPr>
          <m:t>1</m:t>
        </m:r>
        <m:r>
          <m:rPr/>
          <w:rPr>
            <w:rFonts w:hint="eastAsia" w:ascii="Cambria Math" w:hAnsi="Cambria Math" w:cs="Times New Roman"/>
            <w:color w:val="auto"/>
            <w:kern w:val="2"/>
            <w:sz w:val="21"/>
            <w:szCs w:val="21"/>
            <w:highlight w:val="none"/>
            <w:lang w:val="en-US" w:eastAsia="zh-CN" w:bidi="ar-SA"/>
          </w:rPr>
          <m:t>，</m:t>
        </m:r>
        <m:r>
          <m:rPr>
            <m:nor/>
            <m:sty m:val="p"/>
          </m:rPr>
          <w:rPr>
            <w:rFonts w:hint="default" w:ascii="Times New Roman" w:hAnsi="Times New Roman" w:cs="Times New Roman"/>
            <w:b w:val="0"/>
            <w:i w:val="0"/>
            <w:color w:val="auto"/>
            <w:kern w:val="2"/>
            <w:sz w:val="21"/>
            <w:szCs w:val="21"/>
            <w:highlight w:val="none"/>
            <w:lang w:val="en-US" w:eastAsia="zh-CN" w:bidi="ar-SA"/>
          </w:rPr>
          <m:t>2</m:t>
        </m:r>
        <m:r>
          <m:rPr/>
          <w:rPr>
            <w:rFonts w:hint="default" w:ascii="Cambria Math" w:hAnsi="Cambria Math" w:cs="Times New Roman"/>
            <w:color w:val="auto"/>
            <w:kern w:val="2"/>
            <w:sz w:val="21"/>
            <w:szCs w:val="21"/>
            <w:highlight w:val="none"/>
            <w:lang w:val="en-US" w:eastAsia="zh-CN" w:bidi="ar-SA"/>
          </w:rPr>
          <m:t>...</m:t>
        </m:r>
        <m:r>
          <m:rPr/>
          <w:rPr>
            <w:rFonts w:hint="eastAsia" w:ascii="Cambria Math" w:hAnsi="Cambria Math" w:cs="Times New Roman"/>
            <w:color w:val="auto"/>
            <w:kern w:val="2"/>
            <w:sz w:val="21"/>
            <w:szCs w:val="21"/>
            <w:highlight w:val="none"/>
            <w:lang w:val="en-US" w:eastAsia="zh-CN" w:bidi="ar-SA"/>
          </w:rPr>
          <m:t>，</m:t>
        </m:r>
        <m:r>
          <m:rPr/>
          <w:rPr>
            <w:rFonts w:hint="default" w:ascii="Cambria Math" w:hAnsi="Cambria Math" w:cs="Times New Roman"/>
            <w:color w:val="auto"/>
            <w:kern w:val="2"/>
            <w:sz w:val="21"/>
            <w:szCs w:val="21"/>
            <w:highlight w:val="none"/>
            <w:lang w:val="en-US" w:eastAsia="zh-CN" w:bidi="ar-SA"/>
          </w:rPr>
          <m:t>T</m:t>
        </m:r>
        <m:r>
          <m:rPr>
            <m:sty m:val="p"/>
          </m:rPr>
          <w:rPr>
            <w:rFonts w:hint="eastAsia" w:ascii="Cambria Math" w:hAnsi="Cambria Math" w:cs="Times New Roman"/>
            <w:color w:val="auto"/>
            <w:kern w:val="2"/>
            <w:sz w:val="21"/>
            <w:szCs w:val="21"/>
            <w:highlight w:val="none"/>
            <w:lang w:val="en-US" w:eastAsia="zh-CN" w:bidi="ar-SA"/>
          </w:rPr>
          <m:t>）</m:t>
        </m:r>
      </m:oMath>
      <w:r>
        <w:rPr>
          <w:rFonts w:hint="eastAsia" w:hAnsi="Cambria Math" w:cs="Times New Roman"/>
          <w:i/>
          <w:iCs/>
          <w:color w:val="auto"/>
          <w:kern w:val="2"/>
          <w:sz w:val="21"/>
          <w:szCs w:val="21"/>
          <w:highlight w:val="none"/>
          <w:lang w:val="en-US" w:eastAsia="zh-CN" w:bidi="ar-SA"/>
        </w:rPr>
        <w:t>，</w:t>
      </w:r>
      <w:r>
        <w:rPr>
          <w:rFonts w:hint="eastAsia" w:cs="Times New Roman"/>
          <w:color w:val="auto"/>
          <w:highlight w:val="none"/>
        </w:rPr>
        <w:t>设定</w:t>
      </w:r>
      <m:oMath>
        <m:sSup>
          <m:sSupPr>
            <m:ctrlPr>
              <w:rPr>
                <w:rFonts w:ascii="Cambria Math" w:hAnsi="Cambria Math" w:cs="Times New Roman"/>
                <w:i/>
                <w:color w:val="auto"/>
                <w:highlight w:val="none"/>
              </w:rPr>
            </m:ctrlPr>
          </m:sSupPr>
          <m:e>
            <m:r>
              <m:rPr/>
              <w:rPr>
                <w:rFonts w:hint="default" w:ascii="Cambria Math" w:hAnsi="Cambria Math" w:cs="Times New Roman"/>
                <w:color w:val="auto"/>
                <w:highlight w:val="none"/>
                <w:lang w:val="en-US" w:eastAsia="zh-CN"/>
              </w:rPr>
              <m:t>W</m:t>
            </m:r>
            <m:ctrlPr>
              <w:rPr>
                <w:rFonts w:ascii="Cambria Math" w:hAnsi="Cambria Math" w:cs="Times New Roman"/>
                <w:i/>
                <w:color w:val="auto"/>
                <w:highlight w:val="none"/>
              </w:rPr>
            </m:ctrlPr>
          </m:e>
          <m:sup>
            <m:r>
              <m:rPr/>
              <w:rPr>
                <w:rFonts w:ascii="Cambria Math" w:hAnsi="Cambria Math" w:cs="Times New Roman"/>
                <w:color w:val="auto"/>
                <w:highlight w:val="none"/>
              </w:rPr>
              <m:t>T</m:t>
            </m:r>
            <m:ctrlPr>
              <w:rPr>
                <w:rFonts w:ascii="Cambria Math" w:hAnsi="Cambria Math" w:cs="Times New Roman"/>
                <w:i/>
                <w:color w:val="auto"/>
                <w:highlight w:val="none"/>
              </w:rPr>
            </m:ctrlPr>
          </m:sup>
        </m:sSup>
        <m:r>
          <m:rPr/>
          <w:rPr>
            <w:rFonts w:hint="default" w:ascii="Cambria Math" w:hAnsi="Cambria Math" w:cs="Times New Roman"/>
            <w:color w:val="auto"/>
            <w:highlight w:val="none"/>
            <w:lang w:val="en-US" w:eastAsia="zh-CN"/>
          </w:rPr>
          <m:t>W</m:t>
        </m:r>
        <m:r>
          <m:rPr/>
          <w:rPr>
            <w:rFonts w:ascii="Cambria Math" w:hAnsi="Cambria Math" w:cs="Times New Roman"/>
            <w:color w:val="auto"/>
            <w:highlight w:val="none"/>
          </w:rPr>
          <m:t>=1</m:t>
        </m:r>
      </m:oMath>
      <w:r>
        <w:rPr>
          <w:rFonts w:hint="eastAsia" w:cs="Times New Roman"/>
          <w:color w:val="auto"/>
          <w:highlight w:val="none"/>
        </w:rPr>
        <w:t>，权重系数</w:t>
      </w:r>
      <m:oMath>
        <m:r>
          <m:rPr/>
          <w:rPr>
            <w:rFonts w:hint="default" w:ascii="Cambria Math" w:hAnsi="Cambria Math" w:cs="Times New Roman"/>
            <w:color w:val="auto"/>
            <w:highlight w:val="none"/>
            <w:lang w:val="en-US" w:eastAsia="zh-CN"/>
          </w:rPr>
          <m:t>W</m:t>
        </m:r>
      </m:oMath>
      <w:r>
        <w:rPr>
          <w:rFonts w:hint="eastAsia" w:cs="Times New Roman"/>
          <w:color w:val="auto"/>
          <w:highlight w:val="none"/>
        </w:rPr>
        <w:t>即为</w:t>
      </w:r>
      <m:oMath>
        <m:r>
          <m:rPr/>
          <w:rPr>
            <w:rFonts w:hint="eastAsia" w:ascii="Cambria Math" w:hAnsi="Cambria Math" w:cs="Times New Roman"/>
            <w:color w:val="auto"/>
            <w:highlight w:val="none"/>
          </w:rPr>
          <m:t>H</m:t>
        </m:r>
      </m:oMath>
      <w:r>
        <w:rPr>
          <w:rFonts w:hint="eastAsia" w:cs="Times New Roman"/>
          <w:color w:val="auto"/>
          <w:highlight w:val="none"/>
        </w:rPr>
        <w:t>的最大特征相应的标准特征向量，此时</w:t>
      </w:r>
      <m:oMath>
        <m:sSup>
          <m:sSupPr>
            <m:ctrlPr>
              <w:rPr>
                <w:rFonts w:ascii="Cambria Math" w:hAnsi="Cambria Math" w:cs="Times New Roman"/>
                <w:i/>
                <w:color w:val="auto"/>
                <w:highlight w:val="none"/>
              </w:rPr>
            </m:ctrlPr>
          </m:sSupPr>
          <m:e>
            <m:r>
              <m:rPr/>
              <w:rPr>
                <w:rFonts w:ascii="Cambria Math" w:hAnsi="Cambria Math" w:cs="Times New Roman"/>
                <w:color w:val="auto"/>
                <w:highlight w:val="none"/>
              </w:rPr>
              <m:t>σ</m:t>
            </m:r>
            <m:ctrlPr>
              <w:rPr>
                <w:rFonts w:ascii="Cambria Math" w:hAnsi="Cambria Math" w:cs="Times New Roman"/>
                <w:i/>
                <w:color w:val="auto"/>
                <w:highlight w:val="none"/>
              </w:rPr>
            </m:ctrlPr>
          </m:e>
          <m:sup>
            <m:r>
              <m:rPr/>
              <w:rPr>
                <w:rFonts w:ascii="Cambria Math" w:hAnsi="Cambria Math" w:cs="Times New Roman"/>
                <w:color w:val="auto"/>
                <w:highlight w:val="none"/>
              </w:rPr>
              <m:t>2</m:t>
            </m:r>
            <m:ctrlPr>
              <w:rPr>
                <w:rFonts w:ascii="Cambria Math" w:hAnsi="Cambria Math" w:cs="Times New Roman"/>
                <w:i/>
                <w:color w:val="auto"/>
                <w:highlight w:val="none"/>
              </w:rPr>
            </m:ctrlPr>
          </m:sup>
        </m:sSup>
      </m:oMath>
      <w:r>
        <w:rPr>
          <w:rFonts w:hint="eastAsia" w:cs="Times New Roman"/>
          <w:color w:val="auto"/>
          <w:highlight w:val="none"/>
        </w:rPr>
        <w:t>取得最大值。</w:t>
      </w:r>
    </w:p>
    <w:p w14:paraId="38593D73">
      <w:pPr>
        <w:jc w:val="left"/>
        <w:rPr>
          <w:rFonts w:hAnsi="Cambria Math"/>
          <w:color w:val="000000" w:themeColor="text1"/>
          <w14:textFill>
            <w14:solidFill>
              <w14:schemeClr w14:val="tx1"/>
            </w14:solidFill>
          </w14:textFill>
        </w:rPr>
      </w:pPr>
      <w:r>
        <w:rPr>
          <w:rFonts w:eastAsia="微软雅黑"/>
          <w:color w:val="000000" w:themeColor="text1"/>
          <w14:textFill>
            <w14:solidFill>
              <w14:schemeClr w14:val="tx1"/>
            </w14:solidFill>
          </w14:textFill>
        </w:rPr>
        <w:t>④</w:t>
      </w:r>
      <w:r>
        <w:rPr>
          <w:color w:val="000000" w:themeColor="text1"/>
          <w14:textFill>
            <w14:solidFill>
              <w14:schemeClr w14:val="tx1"/>
            </w14:solidFill>
          </w14:textFill>
        </w:rPr>
        <w:t>计算</w:t>
      </w:r>
      <w:r>
        <w:rPr>
          <w:rFonts w:hint="eastAsia"/>
          <w:color w:val="000000" w:themeColor="text1"/>
          <w14:textFill>
            <w14:solidFill>
              <w14:schemeClr w14:val="tx1"/>
            </w14:solidFill>
          </w14:textFill>
        </w:rPr>
        <w:t>各城市综合得分</w:t>
      </w:r>
      <m:oMath>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Y</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j</m:t>
            </m:r>
            <m:ctrlPr>
              <w:rPr>
                <w:rFonts w:ascii="Cambria Math" w:hAnsi="Cambria Math"/>
                <w:i/>
                <w:color w:val="000000" w:themeColor="text1"/>
                <w14:textFill>
                  <w14:solidFill>
                    <w14:schemeClr w14:val="tx1"/>
                  </w14:solidFill>
                </w14:textFill>
              </w:rPr>
            </m:ctrlPr>
          </m:sub>
        </m:sSub>
        <m:d>
          <m:dPr>
            <m:ctrlPr>
              <w:rPr>
                <w:rFonts w:ascii="Cambria Math" w:hAnsi="Cambria Math"/>
                <w:i/>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t</m:t>
            </m:r>
            <m:ctrlPr>
              <w:rPr>
                <w:rFonts w:ascii="Cambria Math" w:hAnsi="Cambria Math"/>
                <w:i/>
                <w:color w:val="000000" w:themeColor="text1"/>
                <w14:textFill>
                  <w14:solidFill>
                    <w14:schemeClr w14:val="tx1"/>
                  </w14:solidFill>
                </w14:textFill>
              </w:rPr>
            </m:ctrlPr>
          </m:e>
        </m:d>
      </m:oMath>
      <w:r>
        <w:rPr>
          <w:rFonts w:hint="eastAsia" w:hAnsi="Cambria Math"/>
          <w:color w:val="000000" w:themeColor="text1"/>
          <w14:textFill>
            <w14:solidFill>
              <w14:schemeClr w14:val="tx1"/>
            </w14:solidFill>
          </w14:textFill>
        </w:rPr>
        <w:t>：</w:t>
      </w:r>
    </w:p>
    <w:p w14:paraId="04F10CE0">
      <w:pPr>
        <w:numPr>
          <w:ilvl w:val="-1"/>
          <w:numId w:val="0"/>
        </w:numPr>
        <w:ind w:firstLine="1920" w:firstLineChars="1000"/>
        <w:jc w:val="both"/>
        <w:outlineLvl w:val="9"/>
        <w:rPr>
          <w:rFonts w:hint="default" w:ascii="Times New Roman" w:hAnsi="Times New Roman" w:eastAsia="宋体" w:cs="Times New Roman"/>
          <w:color w:val="auto"/>
          <w:lang w:val="en-US" w:eastAsia="zh-CN"/>
        </w:rPr>
      </w:pPr>
      <m:oMath>
        <m:sSub>
          <m:sSubPr>
            <m:ctrlPr>
              <w:rPr>
                <w:rFonts w:ascii="Cambria Math" w:hAnsi="Cambria Math" w:cs="Times New Roman"/>
                <w:i/>
                <w:color w:val="auto"/>
                <w:sz w:val="18"/>
                <w:szCs w:val="18"/>
                <w:lang w:val="en-US"/>
              </w:rPr>
            </m:ctrlPr>
          </m:sSubPr>
          <m:e>
            <m:r>
              <m:rPr/>
              <w:rPr>
                <w:rFonts w:hint="default" w:ascii="Cambria Math" w:hAnsi="Cambria Math" w:cs="Times New Roman"/>
                <w:color w:val="auto"/>
                <w:sz w:val="18"/>
                <w:szCs w:val="18"/>
                <w:lang w:val="en-US" w:eastAsia="zh-CN"/>
              </w:rPr>
              <m:t>Y</m:t>
            </m:r>
            <m:ctrlPr>
              <w:rPr>
                <w:rFonts w:ascii="Cambria Math" w:hAnsi="Cambria Math" w:cs="Times New Roman"/>
                <w:i/>
                <w:color w:val="auto"/>
                <w:sz w:val="18"/>
                <w:szCs w:val="18"/>
                <w:lang w:val="en-US"/>
              </w:rPr>
            </m:ctrlPr>
          </m:e>
          <m:sub>
            <m:r>
              <m:rPr/>
              <w:rPr>
                <w:rFonts w:hint="default" w:ascii="Cambria Math" w:hAnsi="Cambria Math" w:cs="Times New Roman"/>
                <w:color w:val="auto"/>
                <w:sz w:val="18"/>
                <w:szCs w:val="18"/>
                <w:lang w:val="en-US" w:eastAsia="zh-CN"/>
              </w:rPr>
              <m:t>j</m:t>
            </m:r>
            <m:ctrlPr>
              <w:rPr>
                <w:rFonts w:ascii="Cambria Math" w:hAnsi="Cambria Math" w:cs="Times New Roman"/>
                <w:i/>
                <w:color w:val="auto"/>
                <w:sz w:val="18"/>
                <w:szCs w:val="18"/>
                <w:lang w:val="en-US"/>
              </w:rPr>
            </m:ctrlPr>
          </m:sub>
        </m:sSub>
        <m:r>
          <m:rPr/>
          <w:rPr>
            <w:rFonts w:hint="default" w:ascii="Cambria Math" w:hAnsi="Cambria Math" w:cs="Times New Roman"/>
            <w:color w:val="auto"/>
            <w:sz w:val="18"/>
            <w:szCs w:val="18"/>
            <w:lang w:val="en-US" w:eastAsia="zh-CN"/>
          </w:rPr>
          <m:t>(t)=</m:t>
        </m:r>
        <m:nary>
          <m:naryPr>
            <m:chr m:val="∑"/>
            <m:limLoc m:val="undOvr"/>
            <m:subHide m:val="1"/>
            <m:supHide m:val="1"/>
            <m:ctrlPr>
              <w:rPr>
                <w:rFonts w:hint="default" w:ascii="Cambria Math" w:hAnsi="Cambria Math" w:cs="Times New Roman"/>
                <w:i/>
                <w:color w:val="auto"/>
                <w:sz w:val="18"/>
                <w:szCs w:val="18"/>
                <w:lang w:val="en-US" w:eastAsia="zh-CN"/>
              </w:rPr>
            </m:ctrlPr>
          </m:naryPr>
          <m:sub>
            <m:ctrlPr>
              <w:rPr>
                <w:rFonts w:hint="default" w:ascii="Cambria Math" w:hAnsi="Cambria Math" w:cs="Times New Roman"/>
                <w:i/>
                <w:color w:val="auto"/>
                <w:sz w:val="18"/>
                <w:szCs w:val="18"/>
                <w:lang w:val="en-US" w:eastAsia="zh-CN"/>
              </w:rPr>
            </m:ctrlPr>
          </m:sub>
          <m:sup>
            <m:ctrlPr>
              <w:rPr>
                <w:rFonts w:hint="default" w:ascii="Cambria Math" w:hAnsi="Cambria Math" w:cs="Times New Roman"/>
                <w:i/>
                <w:color w:val="auto"/>
                <w:sz w:val="18"/>
                <w:szCs w:val="18"/>
                <w:lang w:val="en-US" w:eastAsia="zh-CN"/>
              </w:rPr>
            </m:ctrlPr>
          </m:sup>
          <m:e>
            <m:sSub>
              <m:sSubPr>
                <m:ctrlPr>
                  <w:rPr>
                    <w:rFonts w:hint="default" w:ascii="Cambria Math" w:hAnsi="Cambria Math" w:cs="Times New Roman"/>
                    <w:i/>
                    <w:color w:val="auto"/>
                    <w:sz w:val="18"/>
                    <w:szCs w:val="18"/>
                    <w:lang w:val="en-US" w:eastAsia="zh-CN"/>
                  </w:rPr>
                </m:ctrlPr>
              </m:sSubPr>
              <m:e>
                <m:r>
                  <m:rPr/>
                  <w:rPr>
                    <w:rFonts w:hint="default" w:ascii="Cambria Math" w:hAnsi="Cambria Math" w:cs="Times New Roman"/>
                    <w:color w:val="auto"/>
                    <w:sz w:val="18"/>
                    <w:szCs w:val="18"/>
                    <w:lang w:val="en-US" w:eastAsia="zh-CN"/>
                  </w:rPr>
                  <m:t>W</m:t>
                </m:r>
                <m:ctrlPr>
                  <w:rPr>
                    <w:rFonts w:hint="default" w:ascii="Cambria Math" w:hAnsi="Cambria Math" w:cs="Times New Roman"/>
                    <w:i/>
                    <w:color w:val="auto"/>
                    <w:sz w:val="18"/>
                    <w:szCs w:val="18"/>
                    <w:lang w:val="en-US" w:eastAsia="zh-CN"/>
                  </w:rPr>
                </m:ctrlPr>
              </m:e>
              <m:sub>
                <m:r>
                  <m:rPr/>
                  <w:rPr>
                    <w:rFonts w:hint="default" w:ascii="Cambria Math" w:hAnsi="Cambria Math" w:cs="Times New Roman"/>
                    <w:color w:val="auto"/>
                    <w:sz w:val="18"/>
                    <w:szCs w:val="18"/>
                    <w:lang w:val="en-US" w:eastAsia="zh-CN"/>
                  </w:rPr>
                  <m:t>j</m:t>
                </m:r>
                <m:ctrlPr>
                  <w:rPr>
                    <w:rFonts w:hint="default" w:ascii="Cambria Math" w:hAnsi="Cambria Math" w:cs="Times New Roman"/>
                    <w:i/>
                    <w:color w:val="auto"/>
                    <w:sz w:val="18"/>
                    <w:szCs w:val="18"/>
                    <w:lang w:val="en-US" w:eastAsia="zh-CN"/>
                  </w:rPr>
                </m:ctrlPr>
              </m:sub>
            </m:sSub>
            <m:ctrlPr>
              <w:rPr>
                <w:rFonts w:hint="default" w:ascii="Cambria Math" w:hAnsi="Cambria Math" w:cs="Times New Roman"/>
                <w:i/>
                <w:color w:val="auto"/>
                <w:sz w:val="18"/>
                <w:szCs w:val="18"/>
                <w:lang w:val="en-US" w:eastAsia="zh-CN"/>
              </w:rPr>
            </m:ctrlPr>
          </m:e>
        </m:nary>
        <m:sSub>
          <m:sSubPr>
            <m:ctrlPr>
              <w:rPr>
                <w:rFonts w:hint="default" w:ascii="Cambria Math" w:hAnsi="Cambria Math" w:cs="Times New Roman"/>
                <w:i/>
                <w:color w:val="auto"/>
                <w:sz w:val="18"/>
                <w:szCs w:val="18"/>
                <w:lang w:val="en-US" w:eastAsia="zh-CN"/>
              </w:rPr>
            </m:ctrlPr>
          </m:sSubPr>
          <m:e>
            <m:r>
              <m:rPr/>
              <w:rPr>
                <w:rFonts w:hint="default" w:ascii="Cambria Math" w:hAnsi="Cambria Math" w:cs="Times New Roman"/>
                <w:color w:val="auto"/>
                <w:sz w:val="18"/>
                <w:szCs w:val="18"/>
                <w:lang w:val="en-US" w:eastAsia="zh-CN"/>
              </w:rPr>
              <m:t>X</m:t>
            </m:r>
            <m:ctrlPr>
              <w:rPr>
                <w:rFonts w:hint="default" w:ascii="Cambria Math" w:hAnsi="Cambria Math" w:cs="Times New Roman"/>
                <w:i/>
                <w:color w:val="auto"/>
                <w:sz w:val="18"/>
                <w:szCs w:val="18"/>
                <w:lang w:val="en-US" w:eastAsia="zh-CN"/>
              </w:rPr>
            </m:ctrlPr>
          </m:e>
          <m:sub>
            <m:r>
              <m:rPr/>
              <w:rPr>
                <w:rFonts w:hint="default" w:ascii="Cambria Math" w:hAnsi="Cambria Math" w:cs="Times New Roman"/>
                <w:color w:val="auto"/>
                <w:sz w:val="18"/>
                <w:szCs w:val="18"/>
                <w:lang w:val="en-US" w:eastAsia="zh-CN"/>
              </w:rPr>
              <m:t>xj</m:t>
            </m:r>
            <m:ctrlPr>
              <w:rPr>
                <w:rFonts w:hint="default" w:ascii="Cambria Math" w:hAnsi="Cambria Math" w:cs="Times New Roman"/>
                <w:i/>
                <w:color w:val="auto"/>
                <w:sz w:val="18"/>
                <w:szCs w:val="18"/>
                <w:lang w:val="en-US" w:eastAsia="zh-CN"/>
              </w:rPr>
            </m:ctrlPr>
          </m:sub>
        </m:sSub>
        <m:r>
          <m:rPr/>
          <w:rPr>
            <w:rFonts w:hint="default" w:ascii="Cambria Math" w:hAnsi="Cambria Math" w:cs="Times New Roman"/>
            <w:color w:val="auto"/>
            <w:sz w:val="18"/>
            <w:szCs w:val="18"/>
            <w:lang w:val="en-US" w:eastAsia="zh-CN"/>
          </w:rPr>
          <m:t>(t)</m:t>
        </m:r>
      </m:oMath>
      <w:r>
        <w:rPr>
          <w:rFonts w:hint="eastAsia" w:hAnsi="Cambria Math" w:cs="Times New Roman"/>
          <w:i w:val="0"/>
          <w:color w:val="auto"/>
          <w:sz w:val="18"/>
          <w:szCs w:val="18"/>
          <w:lang w:val="en-US" w:eastAsia="zh-CN"/>
        </w:rPr>
        <w:t xml:space="preserve">                                                                   </w:t>
      </w:r>
      <w:r>
        <w:rPr>
          <w:rFonts w:hint="default" w:ascii="Times New Roman" w:hAnsi="Times New Roman" w:eastAsia="宋体" w:cs="Times New Roman"/>
          <w:color w:val="auto"/>
          <w:lang w:val="en-US" w:eastAsia="zh-CN"/>
        </w:rPr>
        <w:t>（</w:t>
      </w:r>
      <w:r>
        <w:rPr>
          <w:rFonts w:hint="eastAsia"/>
          <w:color w:val="000000" w:themeColor="text1"/>
          <w14:textFill>
            <w14:solidFill>
              <w14:schemeClr w14:val="tx1"/>
            </w14:solidFill>
          </w14:textFill>
        </w:rPr>
        <w:t>A5</w:t>
      </w:r>
      <w:r>
        <w:rPr>
          <w:rFonts w:hint="default" w:ascii="Times New Roman" w:hAnsi="Times New Roman" w:eastAsia="宋体" w:cs="Times New Roman"/>
          <w:color w:val="auto"/>
          <w:lang w:val="en-US" w:eastAsia="zh-CN"/>
        </w:rPr>
        <w:t>）</w:t>
      </w:r>
    </w:p>
    <w:p w14:paraId="6957D450">
      <w:pP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br w:type="page"/>
      </w:r>
    </w:p>
    <w:p w14:paraId="4E64B641">
      <w:pPr>
        <w:ind w:left="0" w:leftChars="0" w:firstLine="0" w:firstLineChars="0"/>
        <w:jc w:val="center"/>
        <w:outlineLvl w:val="0"/>
        <w:rPr>
          <w:rFonts w:hint="eastAsia" w:ascii="仿宋" w:hAnsi="仿宋" w:eastAsia="仿宋"/>
          <w:b/>
          <w:kern w:val="0"/>
          <w:sz w:val="28"/>
          <w:szCs w:val="28"/>
        </w:rPr>
      </w:pPr>
      <w:r>
        <w:rPr>
          <w:rFonts w:ascii="仿宋" w:hAnsi="仿宋" w:eastAsia="仿宋"/>
          <w:b/>
          <w:kern w:val="0"/>
          <w:sz w:val="28"/>
          <w:szCs w:val="28"/>
        </w:rPr>
        <w:t>附录</w:t>
      </w:r>
      <w:r>
        <w:rPr>
          <w:rFonts w:hint="eastAsia" w:eastAsia="仿宋"/>
          <w:b/>
          <w:kern w:val="0"/>
          <w:sz w:val="28"/>
          <w:szCs w:val="28"/>
          <w:lang w:val="en-US" w:eastAsia="zh-CN"/>
        </w:rPr>
        <w:t>3</w:t>
      </w:r>
      <w:r>
        <w:rPr>
          <w:rFonts w:hint="eastAsia" w:eastAsia="仿宋"/>
          <w:b/>
          <w:kern w:val="0"/>
          <w:sz w:val="28"/>
          <w:szCs w:val="28"/>
        </w:rPr>
        <w:t>.</w:t>
      </w:r>
      <w:r>
        <w:rPr>
          <w:rFonts w:hint="eastAsia" w:eastAsia="仿宋"/>
          <w:b/>
          <w:kern w:val="0"/>
          <w:sz w:val="28"/>
          <w:szCs w:val="28"/>
          <w:lang w:val="en-US" w:eastAsia="zh-CN"/>
        </w:rPr>
        <w:t xml:space="preserve"> </w:t>
      </w:r>
      <w:r>
        <w:rPr>
          <w:rFonts w:hint="eastAsia" w:ascii="仿宋" w:hAnsi="仿宋" w:eastAsia="仿宋"/>
          <w:b/>
          <w:kern w:val="0"/>
          <w:sz w:val="28"/>
          <w:szCs w:val="28"/>
        </w:rPr>
        <w:t>具体数据来源</w:t>
      </w:r>
    </w:p>
    <w:p w14:paraId="13B08FD1">
      <w:pPr>
        <w:ind w:firstLine="446"/>
        <w:rPr>
          <w:rFonts w:hint="eastAsia"/>
        </w:rPr>
      </w:pPr>
      <w:r>
        <w:rPr>
          <w:rFonts w:hint="eastAsia"/>
        </w:rPr>
        <w:t>本文以2010</w:t>
      </w:r>
      <w:r>
        <w:rPr>
          <w:rFonts w:hint="eastAsia"/>
          <w:szCs w:val="21"/>
        </w:rPr>
        <w:t>—</w:t>
      </w:r>
      <w:r>
        <w:rPr>
          <w:rFonts w:hint="eastAsia"/>
        </w:rPr>
        <w:t>2022年中国283个地级及以上城市为研究样本。为规避企业数量泡沫，采用创新水平相对较高的专精特新、瞪羚、独角兽、雏鹰等企业表征科技型企业，相关数据源自工业和信息化部、天眼查官方网站；创新人才流入量参考汪克亮等（2023）的研究</w:t>
      </w:r>
      <w:r>
        <w:rPr>
          <w:rFonts w:hint="eastAsia"/>
          <w:lang w:val="en-US" w:eastAsia="zh-CN"/>
        </w:rPr>
        <w:t>获得</w:t>
      </w:r>
      <w:r>
        <w:rPr>
          <w:rFonts w:hint="eastAsia"/>
        </w:rPr>
        <w:t>；国家级科技企业孵化器源自工信部火炬中心，根据该中心公布的孵化器名单从百度地图中检索出孵化器所在地，并将其匹配至所属城市；科技金融关注度参考李春涛等（2020）的做法获得；知识产权审判结案数源自北大法宝法律数据库；产学研合作上市企业数是将上市公司当年是否参与与高校、研究院、研究所联合申请专利进行衡量，并匹配至所属城市；产业协同聚集水平借鉴陈建军等（2016）的研究测算；发明专利授权量、各领域被引TOP2%的发明专利量（徐洁、李琳，2023）、外观和实用新型专利授权量源自中华人民共和国知识产权局</w:t>
      </w:r>
      <w:r>
        <w:t>（SIPO）</w:t>
      </w:r>
      <w:r>
        <w:rPr>
          <w:rFonts w:hint="eastAsia"/>
        </w:rPr>
        <w:t>的中国专利数据库；规模以上企业利润率参考借鉴孙早和宋炜（2012）的研究</w:t>
      </w:r>
      <w:r>
        <w:rPr>
          <w:rFonts w:hint="eastAsia"/>
          <w:lang w:val="en-US" w:eastAsia="zh-CN"/>
        </w:rPr>
        <w:t>获得</w:t>
      </w:r>
      <w:r>
        <w:rPr>
          <w:rFonts w:hint="eastAsia"/>
        </w:rPr>
        <w:t>；产业创新效率是以发明专利授权数量与第二、三产业从业人员数量作为创新转化过程的投入变量，以新产品销售收入为产出变量，采用DEA模型测算获得；人工智能企业、战略性新兴产业企业源自中国工商</w:t>
      </w:r>
      <w:r>
        <w:rPr>
          <w:rFonts w:hint="eastAsia"/>
          <w:lang w:val="en-US" w:eastAsia="zh-CN"/>
        </w:rPr>
        <w:t>注册</w:t>
      </w:r>
      <w:r>
        <w:rPr>
          <w:rFonts w:hint="eastAsia"/>
        </w:rPr>
        <w:t>企业数据</w:t>
      </w:r>
      <w:r>
        <w:rPr>
          <w:rFonts w:hint="eastAsia"/>
          <w:lang w:val="en-US" w:eastAsia="zh-CN"/>
        </w:rPr>
        <w:t>库</w:t>
      </w:r>
      <w:r>
        <w:rPr>
          <w:rFonts w:hint="eastAsia"/>
        </w:rPr>
        <w:t>，并根据企业地址匹配至所属城市；市场发展潜力指数参考韩峰和柯善咨（2012年）的研究</w:t>
      </w:r>
      <w:r>
        <w:rPr>
          <w:rFonts w:hint="eastAsia"/>
          <w:lang w:val="en-US" w:eastAsia="zh-CN"/>
        </w:rPr>
        <w:t>获得</w:t>
      </w:r>
      <w:r>
        <w:rPr>
          <w:rFonts w:hint="eastAsia"/>
        </w:rPr>
        <w:t>；其余相关数据源自《中国城市统计年鉴》、各省市统计年鉴</w:t>
      </w:r>
      <w:r>
        <w:rPr>
          <w:rFonts w:hint="eastAsia"/>
          <w:lang w:val="en-US" w:eastAsia="zh-CN"/>
        </w:rPr>
        <w:t>以及</w:t>
      </w:r>
      <w:r>
        <w:rPr>
          <w:rFonts w:hint="eastAsia" w:ascii="Times New Roman" w:hAnsi="Times New Roman"/>
          <w:lang w:val="en-US" w:eastAsia="zh-CN"/>
        </w:rPr>
        <w:t>地方政府统计</w:t>
      </w:r>
      <w:r>
        <w:rPr>
          <w:rFonts w:hint="eastAsia" w:ascii="Times New Roman" w:hAnsi="Times New Roman"/>
        </w:rPr>
        <w:t>公报</w:t>
      </w:r>
      <w:r>
        <w:rPr>
          <w:rFonts w:hint="eastAsia"/>
          <w:lang w:eastAsia="zh-CN"/>
        </w:rPr>
        <w:t>。</w:t>
      </w:r>
      <w:r>
        <w:rPr>
          <w:rFonts w:hint="eastAsia"/>
        </w:rPr>
        <w:t>少量缺失值</w:t>
      </w:r>
      <w:r>
        <w:rPr>
          <w:rFonts w:hint="eastAsia"/>
          <w:lang w:val="en-US" w:eastAsia="zh-CN"/>
        </w:rPr>
        <w:t>采用</w:t>
      </w:r>
      <w:r>
        <w:rPr>
          <w:rFonts w:hint="eastAsia"/>
        </w:rPr>
        <w:t>插值法补充。</w:t>
      </w:r>
    </w:p>
    <w:p w14:paraId="490DA5B8">
      <w:pPr>
        <w:rPr>
          <w:rFonts w:hint="eastAsia"/>
        </w:rPr>
      </w:pPr>
      <w:r>
        <w:rPr>
          <w:rFonts w:hint="eastAsia"/>
        </w:rPr>
        <w:br w:type="page"/>
      </w:r>
    </w:p>
    <w:p w14:paraId="66A1BE67">
      <w:pPr>
        <w:ind w:left="0" w:leftChars="0" w:firstLine="0" w:firstLineChars="0"/>
        <w:jc w:val="center"/>
        <w:outlineLvl w:val="0"/>
        <w:rPr>
          <w:rFonts w:hint="eastAsia" w:ascii="仿宋" w:hAnsi="仿宋" w:eastAsia="仿宋"/>
          <w:b/>
          <w:kern w:val="0"/>
          <w:sz w:val="28"/>
          <w:szCs w:val="28"/>
        </w:rPr>
      </w:pPr>
      <w:r>
        <w:rPr>
          <w:rFonts w:hint="eastAsia" w:ascii="仿宋" w:hAnsi="仿宋" w:eastAsia="仿宋"/>
          <w:b/>
          <w:kern w:val="0"/>
          <w:sz w:val="28"/>
          <w:szCs w:val="28"/>
        </w:rPr>
        <w:t>附录</w:t>
      </w:r>
      <w:r>
        <w:rPr>
          <w:rFonts w:hint="eastAsia" w:eastAsia="仿宋"/>
          <w:b/>
          <w:kern w:val="0"/>
          <w:sz w:val="28"/>
          <w:szCs w:val="28"/>
          <w:lang w:val="en-US" w:eastAsia="zh-CN"/>
        </w:rPr>
        <w:t>4</w:t>
      </w:r>
      <w:r>
        <w:rPr>
          <w:rFonts w:hint="eastAsia" w:ascii="仿宋" w:hAnsi="仿宋" w:eastAsia="仿宋"/>
          <w:b/>
          <w:kern w:val="0"/>
          <w:sz w:val="28"/>
          <w:szCs w:val="28"/>
        </w:rPr>
        <w:t>.</w:t>
      </w:r>
      <w:r>
        <w:rPr>
          <w:rFonts w:hint="eastAsia" w:ascii="仿宋" w:hAnsi="仿宋" w:eastAsia="仿宋"/>
          <w:b/>
          <w:kern w:val="0"/>
          <w:sz w:val="28"/>
          <w:szCs w:val="28"/>
          <w:lang w:val="en-US" w:eastAsia="zh-CN"/>
        </w:rPr>
        <w:t xml:space="preserve"> </w:t>
      </w:r>
      <w:r>
        <w:rPr>
          <w:rFonts w:hint="eastAsia" w:ascii="仿宋" w:hAnsi="仿宋" w:eastAsia="仿宋"/>
          <w:b/>
          <w:kern w:val="0"/>
          <w:sz w:val="28"/>
          <w:szCs w:val="28"/>
        </w:rPr>
        <w:t>基准回归补充结果</w:t>
      </w:r>
    </w:p>
    <w:p w14:paraId="6612576C">
      <w:pPr>
        <w:pStyle w:val="6"/>
        <w:ind w:firstLine="0" w:firstLineChars="0"/>
        <w:jc w:val="center"/>
        <w:rPr>
          <w:rFonts w:hint="eastAsia" w:ascii="黑体" w:hAnsi="黑体" w:eastAsia="黑体"/>
          <w:sz w:val="21"/>
          <w:szCs w:val="21"/>
        </w:rPr>
      </w:pPr>
      <w:r>
        <w:rPr>
          <w:rFonts w:hint="eastAsia" w:ascii="黑体" w:hAnsi="黑体" w:eastAsia="黑体"/>
          <w:sz w:val="21"/>
          <w:szCs w:val="21"/>
        </w:rPr>
        <w:t>表</w:t>
      </w:r>
      <w:r>
        <w:rPr>
          <w:rFonts w:eastAsia="黑体" w:cs="Times New Roman"/>
          <w:sz w:val="21"/>
          <w:szCs w:val="21"/>
        </w:rPr>
        <w:t>A</w:t>
      </w:r>
      <w:r>
        <w:rPr>
          <w:rFonts w:hint="eastAsia" w:eastAsia="黑体" w:cs="Times New Roman"/>
          <w:sz w:val="21"/>
          <w:szCs w:val="21"/>
          <w:lang w:val="en-US" w:eastAsia="zh-CN"/>
        </w:rPr>
        <w:t>1</w:t>
      </w:r>
      <w:r>
        <w:rPr>
          <w:rFonts w:hint="eastAsia" w:eastAsia="黑体" w:cs="Times New Roman"/>
          <w:sz w:val="21"/>
          <w:szCs w:val="21"/>
        </w:rPr>
        <w:t xml:space="preserve"> </w:t>
      </w:r>
      <w:r>
        <w:rPr>
          <w:rFonts w:hint="eastAsia" w:ascii="黑体" w:hAnsi="黑体" w:eastAsia="黑体"/>
          <w:sz w:val="21"/>
          <w:szCs w:val="21"/>
        </w:rPr>
        <w:t>基准回归补充结果</w:t>
      </w:r>
    </w:p>
    <w:tbl>
      <w:tblPr>
        <w:tblStyle w:val="20"/>
        <w:tblW w:w="11183"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0"/>
        <w:gridCol w:w="861"/>
        <w:gridCol w:w="870"/>
        <w:gridCol w:w="920"/>
        <w:gridCol w:w="959"/>
        <w:gridCol w:w="950"/>
        <w:gridCol w:w="960"/>
        <w:gridCol w:w="970"/>
        <w:gridCol w:w="1154"/>
        <w:gridCol w:w="926"/>
        <w:gridCol w:w="983"/>
      </w:tblGrid>
      <w:tr w14:paraId="1C11782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vMerge w:val="restart"/>
            <w:tcBorders>
              <w:right w:val="single" w:color="auto" w:sz="2" w:space="0"/>
              <w:tl2br w:val="nil"/>
              <w:tr2bl w:val="nil"/>
            </w:tcBorders>
            <w:vAlign w:val="center"/>
          </w:tcPr>
          <w:p w14:paraId="68B0BA8D">
            <w:pPr>
              <w:wordWrap w:val="0"/>
              <w:topLinePunct/>
              <w:ind w:firstLine="0" w:firstLineChars="0"/>
              <w:jc w:val="center"/>
              <w:rPr>
                <w:sz w:val="18"/>
                <w:szCs w:val="18"/>
              </w:rPr>
            </w:pPr>
            <w:r>
              <w:rPr>
                <w:sz w:val="18"/>
                <w:szCs w:val="18"/>
              </w:rPr>
              <w:t>变量</w:t>
            </w:r>
          </w:p>
        </w:tc>
        <w:tc>
          <w:tcPr>
            <w:tcW w:w="861" w:type="dxa"/>
            <w:tcBorders>
              <w:left w:val="single" w:color="auto" w:sz="2" w:space="0"/>
              <w:bottom w:val="single" w:color="auto" w:sz="2" w:space="0"/>
              <w:right w:val="single" w:color="auto" w:sz="2" w:space="0"/>
            </w:tcBorders>
          </w:tcPr>
          <w:p w14:paraId="5EF197C6">
            <w:pPr>
              <w:wordWrap w:val="0"/>
              <w:topLinePunct/>
              <w:ind w:firstLine="0" w:firstLineChars="0"/>
              <w:jc w:val="center"/>
              <w:rPr>
                <w:sz w:val="18"/>
                <w:szCs w:val="18"/>
              </w:rPr>
            </w:pPr>
            <w:r>
              <w:rPr>
                <w:sz w:val="18"/>
                <w:szCs w:val="18"/>
              </w:rPr>
              <w:t>（1）</w:t>
            </w:r>
          </w:p>
        </w:tc>
        <w:tc>
          <w:tcPr>
            <w:tcW w:w="870" w:type="dxa"/>
            <w:tcBorders>
              <w:left w:val="single" w:color="auto" w:sz="2" w:space="0"/>
              <w:bottom w:val="single" w:color="auto" w:sz="2" w:space="0"/>
              <w:right w:val="single" w:color="auto" w:sz="2" w:space="0"/>
            </w:tcBorders>
          </w:tcPr>
          <w:p w14:paraId="75587DFD">
            <w:pPr>
              <w:wordWrap w:val="0"/>
              <w:topLinePunct/>
              <w:ind w:firstLine="0" w:firstLineChars="0"/>
              <w:jc w:val="center"/>
              <w:rPr>
                <w:sz w:val="18"/>
                <w:szCs w:val="18"/>
              </w:rPr>
            </w:pPr>
            <w:r>
              <w:rPr>
                <w:sz w:val="18"/>
                <w:szCs w:val="18"/>
              </w:rPr>
              <w:t>（2）</w:t>
            </w:r>
          </w:p>
        </w:tc>
        <w:tc>
          <w:tcPr>
            <w:tcW w:w="920" w:type="dxa"/>
            <w:tcBorders>
              <w:left w:val="single" w:color="auto" w:sz="2" w:space="0"/>
              <w:bottom w:val="single" w:color="auto" w:sz="2" w:space="0"/>
              <w:right w:val="single" w:color="auto" w:sz="2" w:space="0"/>
            </w:tcBorders>
          </w:tcPr>
          <w:p w14:paraId="5EE644CD">
            <w:pPr>
              <w:wordWrap w:val="0"/>
              <w:topLinePunct/>
              <w:ind w:firstLine="0" w:firstLineChars="0"/>
              <w:jc w:val="center"/>
              <w:rPr>
                <w:sz w:val="18"/>
                <w:szCs w:val="18"/>
              </w:rPr>
            </w:pPr>
            <w:r>
              <w:rPr>
                <w:sz w:val="18"/>
                <w:szCs w:val="18"/>
              </w:rPr>
              <w:t>（3）</w:t>
            </w:r>
          </w:p>
        </w:tc>
        <w:tc>
          <w:tcPr>
            <w:tcW w:w="959" w:type="dxa"/>
            <w:tcBorders>
              <w:left w:val="single" w:color="auto" w:sz="2" w:space="0"/>
              <w:bottom w:val="single" w:color="auto" w:sz="2" w:space="0"/>
              <w:right w:val="single" w:color="auto" w:sz="2" w:space="0"/>
            </w:tcBorders>
          </w:tcPr>
          <w:p w14:paraId="42EA49E9">
            <w:pPr>
              <w:wordWrap w:val="0"/>
              <w:topLinePunct/>
              <w:ind w:firstLine="0" w:firstLineChars="0"/>
              <w:jc w:val="center"/>
              <w:rPr>
                <w:sz w:val="18"/>
                <w:szCs w:val="18"/>
              </w:rPr>
            </w:pPr>
            <w:r>
              <w:rPr>
                <w:sz w:val="18"/>
                <w:szCs w:val="18"/>
              </w:rPr>
              <w:t>（</w:t>
            </w:r>
            <w:r>
              <w:rPr>
                <w:rFonts w:hint="eastAsia"/>
                <w:sz w:val="18"/>
                <w:szCs w:val="18"/>
              </w:rPr>
              <w:t>4</w:t>
            </w:r>
            <w:r>
              <w:rPr>
                <w:sz w:val="18"/>
                <w:szCs w:val="18"/>
              </w:rPr>
              <w:t>）</w:t>
            </w:r>
          </w:p>
        </w:tc>
        <w:tc>
          <w:tcPr>
            <w:tcW w:w="950" w:type="dxa"/>
            <w:tcBorders>
              <w:left w:val="single" w:color="auto" w:sz="2" w:space="0"/>
              <w:bottom w:val="single" w:color="auto" w:sz="2" w:space="0"/>
              <w:right w:val="single" w:color="auto" w:sz="2" w:space="0"/>
            </w:tcBorders>
          </w:tcPr>
          <w:p w14:paraId="31223687">
            <w:pPr>
              <w:wordWrap w:val="0"/>
              <w:topLinePunct/>
              <w:ind w:firstLine="0" w:firstLineChars="0"/>
              <w:jc w:val="center"/>
              <w:rPr>
                <w:sz w:val="18"/>
                <w:szCs w:val="18"/>
              </w:rPr>
            </w:pPr>
            <w:r>
              <w:rPr>
                <w:sz w:val="18"/>
                <w:szCs w:val="18"/>
              </w:rPr>
              <w:t>（</w:t>
            </w:r>
            <w:r>
              <w:rPr>
                <w:rFonts w:hint="eastAsia"/>
                <w:sz w:val="18"/>
                <w:szCs w:val="18"/>
              </w:rPr>
              <w:t>5</w:t>
            </w:r>
            <w:r>
              <w:rPr>
                <w:sz w:val="18"/>
                <w:szCs w:val="18"/>
              </w:rPr>
              <w:t>）</w:t>
            </w:r>
          </w:p>
        </w:tc>
        <w:tc>
          <w:tcPr>
            <w:tcW w:w="960" w:type="dxa"/>
            <w:tcBorders>
              <w:left w:val="single" w:color="auto" w:sz="2" w:space="0"/>
              <w:bottom w:val="single" w:color="auto" w:sz="2" w:space="0"/>
              <w:right w:val="single" w:color="auto" w:sz="2" w:space="0"/>
            </w:tcBorders>
          </w:tcPr>
          <w:p w14:paraId="0892AC71">
            <w:pPr>
              <w:wordWrap w:val="0"/>
              <w:topLinePunct/>
              <w:ind w:firstLine="0" w:firstLineChars="0"/>
              <w:jc w:val="center"/>
              <w:rPr>
                <w:sz w:val="18"/>
                <w:szCs w:val="18"/>
              </w:rPr>
            </w:pPr>
            <w:r>
              <w:rPr>
                <w:sz w:val="18"/>
                <w:szCs w:val="18"/>
              </w:rPr>
              <w:t>（</w:t>
            </w:r>
            <w:r>
              <w:rPr>
                <w:rFonts w:hint="eastAsia"/>
                <w:sz w:val="18"/>
                <w:szCs w:val="18"/>
              </w:rPr>
              <w:t>6</w:t>
            </w:r>
            <w:r>
              <w:rPr>
                <w:sz w:val="18"/>
                <w:szCs w:val="18"/>
              </w:rPr>
              <w:t>）</w:t>
            </w:r>
          </w:p>
        </w:tc>
        <w:tc>
          <w:tcPr>
            <w:tcW w:w="970" w:type="dxa"/>
            <w:tcBorders>
              <w:left w:val="single" w:color="auto" w:sz="2" w:space="0"/>
              <w:bottom w:val="single" w:color="auto" w:sz="2" w:space="0"/>
              <w:right w:val="single" w:color="auto" w:sz="2" w:space="0"/>
            </w:tcBorders>
          </w:tcPr>
          <w:p w14:paraId="7DEE24E4">
            <w:pPr>
              <w:wordWrap w:val="0"/>
              <w:topLinePunct/>
              <w:ind w:firstLine="0" w:firstLineChars="0"/>
              <w:jc w:val="center"/>
              <w:rPr>
                <w:sz w:val="18"/>
                <w:szCs w:val="18"/>
              </w:rPr>
            </w:pPr>
            <w:r>
              <w:rPr>
                <w:sz w:val="18"/>
                <w:szCs w:val="18"/>
              </w:rPr>
              <w:t>（</w:t>
            </w:r>
            <w:r>
              <w:rPr>
                <w:rFonts w:hint="eastAsia"/>
                <w:sz w:val="18"/>
                <w:szCs w:val="18"/>
              </w:rPr>
              <w:t>7</w:t>
            </w:r>
            <w:r>
              <w:rPr>
                <w:sz w:val="18"/>
                <w:szCs w:val="18"/>
              </w:rPr>
              <w:t>）</w:t>
            </w:r>
          </w:p>
        </w:tc>
        <w:tc>
          <w:tcPr>
            <w:tcW w:w="1154" w:type="dxa"/>
            <w:tcBorders>
              <w:left w:val="single" w:color="auto" w:sz="2" w:space="0"/>
              <w:bottom w:val="single" w:color="auto" w:sz="2" w:space="0"/>
              <w:right w:val="single" w:color="auto" w:sz="2" w:space="0"/>
            </w:tcBorders>
          </w:tcPr>
          <w:p w14:paraId="340A47B9">
            <w:pPr>
              <w:wordWrap w:val="0"/>
              <w:topLinePunct/>
              <w:ind w:firstLine="0" w:firstLineChars="0"/>
              <w:jc w:val="center"/>
              <w:rPr>
                <w:sz w:val="18"/>
                <w:szCs w:val="18"/>
              </w:rPr>
            </w:pPr>
            <w:r>
              <w:rPr>
                <w:sz w:val="18"/>
                <w:szCs w:val="18"/>
              </w:rPr>
              <w:t>（</w:t>
            </w:r>
            <w:r>
              <w:rPr>
                <w:rFonts w:hint="eastAsia"/>
                <w:sz w:val="18"/>
                <w:szCs w:val="18"/>
              </w:rPr>
              <w:t>8</w:t>
            </w:r>
            <w:r>
              <w:rPr>
                <w:sz w:val="18"/>
                <w:szCs w:val="18"/>
              </w:rPr>
              <w:t>）</w:t>
            </w:r>
          </w:p>
        </w:tc>
        <w:tc>
          <w:tcPr>
            <w:tcW w:w="926" w:type="dxa"/>
            <w:tcBorders>
              <w:left w:val="single" w:color="auto" w:sz="2" w:space="0"/>
              <w:bottom w:val="single" w:color="auto" w:sz="2" w:space="0"/>
              <w:right w:val="single" w:color="auto" w:sz="2" w:space="0"/>
            </w:tcBorders>
          </w:tcPr>
          <w:p w14:paraId="096E58A8">
            <w:pPr>
              <w:wordWrap w:val="0"/>
              <w:topLinePunct/>
              <w:ind w:firstLine="0" w:firstLineChars="0"/>
              <w:jc w:val="center"/>
              <w:rPr>
                <w:sz w:val="18"/>
                <w:szCs w:val="18"/>
              </w:rPr>
            </w:pPr>
            <w:r>
              <w:rPr>
                <w:sz w:val="18"/>
                <w:szCs w:val="18"/>
              </w:rPr>
              <w:t>（</w:t>
            </w:r>
            <w:r>
              <w:rPr>
                <w:rFonts w:hint="eastAsia"/>
                <w:sz w:val="18"/>
                <w:szCs w:val="18"/>
              </w:rPr>
              <w:t>9</w:t>
            </w:r>
            <w:r>
              <w:rPr>
                <w:sz w:val="18"/>
                <w:szCs w:val="18"/>
              </w:rPr>
              <w:t>）</w:t>
            </w:r>
          </w:p>
        </w:tc>
        <w:tc>
          <w:tcPr>
            <w:tcW w:w="983" w:type="dxa"/>
            <w:tcBorders>
              <w:left w:val="single" w:color="auto" w:sz="2" w:space="0"/>
              <w:bottom w:val="single" w:color="auto" w:sz="2" w:space="0"/>
              <w:right w:val="nil"/>
            </w:tcBorders>
          </w:tcPr>
          <w:p w14:paraId="694BCD57">
            <w:pPr>
              <w:wordWrap w:val="0"/>
              <w:topLinePunct/>
              <w:ind w:firstLine="0" w:firstLineChars="0"/>
              <w:jc w:val="center"/>
              <w:rPr>
                <w:sz w:val="18"/>
                <w:szCs w:val="18"/>
              </w:rPr>
            </w:pPr>
            <w:r>
              <w:rPr>
                <w:sz w:val="18"/>
                <w:szCs w:val="18"/>
              </w:rPr>
              <w:t>（</w:t>
            </w:r>
            <w:r>
              <w:rPr>
                <w:rFonts w:hint="eastAsia"/>
                <w:sz w:val="18"/>
                <w:szCs w:val="18"/>
              </w:rPr>
              <w:t>10</w:t>
            </w:r>
            <w:r>
              <w:rPr>
                <w:sz w:val="18"/>
                <w:szCs w:val="18"/>
              </w:rPr>
              <w:t>）</w:t>
            </w:r>
          </w:p>
        </w:tc>
      </w:tr>
      <w:tr w14:paraId="62DC395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vMerge w:val="continue"/>
            <w:tcBorders>
              <w:bottom w:val="single" w:color="auto" w:sz="4" w:space="0"/>
              <w:right w:val="single" w:color="auto" w:sz="2" w:space="0"/>
              <w:tl2br w:val="nil"/>
              <w:tr2bl w:val="nil"/>
            </w:tcBorders>
            <w:vAlign w:val="center"/>
          </w:tcPr>
          <w:p w14:paraId="653BE33C">
            <w:pPr>
              <w:wordWrap w:val="0"/>
              <w:topLinePunct/>
              <w:ind w:firstLine="0" w:firstLineChars="0"/>
              <w:jc w:val="center"/>
              <w:rPr>
                <w:sz w:val="18"/>
                <w:szCs w:val="18"/>
              </w:rPr>
            </w:pPr>
          </w:p>
        </w:tc>
        <w:tc>
          <w:tcPr>
            <w:tcW w:w="1731" w:type="dxa"/>
            <w:gridSpan w:val="2"/>
            <w:tcBorders>
              <w:top w:val="single" w:color="auto" w:sz="2" w:space="0"/>
              <w:left w:val="single" w:color="auto" w:sz="2" w:space="0"/>
              <w:bottom w:val="single" w:color="auto" w:sz="2" w:space="0"/>
              <w:right w:val="single" w:color="auto" w:sz="2" w:space="0"/>
            </w:tcBorders>
            <w:vAlign w:val="center"/>
          </w:tcPr>
          <w:p w14:paraId="458957ED">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互联网普及率</w:t>
            </w:r>
          </w:p>
        </w:tc>
        <w:tc>
          <w:tcPr>
            <w:tcW w:w="1879" w:type="dxa"/>
            <w:gridSpan w:val="2"/>
            <w:tcBorders>
              <w:top w:val="single" w:color="auto" w:sz="2" w:space="0"/>
              <w:left w:val="single" w:color="auto" w:sz="2" w:space="0"/>
              <w:bottom w:val="single" w:color="auto" w:sz="2" w:space="0"/>
              <w:right w:val="single" w:color="auto" w:sz="2" w:space="0"/>
            </w:tcBorders>
            <w:vAlign w:val="center"/>
          </w:tcPr>
          <w:p w14:paraId="40FF04DA">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电信业务量</w:t>
            </w:r>
          </w:p>
        </w:tc>
        <w:tc>
          <w:tcPr>
            <w:tcW w:w="1910" w:type="dxa"/>
            <w:gridSpan w:val="2"/>
            <w:tcBorders>
              <w:top w:val="single" w:color="auto" w:sz="2" w:space="0"/>
              <w:left w:val="single" w:color="auto" w:sz="2" w:space="0"/>
              <w:bottom w:val="single" w:color="auto" w:sz="2" w:space="0"/>
              <w:right w:val="single" w:color="auto" w:sz="2" w:space="0"/>
            </w:tcBorders>
            <w:vAlign w:val="center"/>
          </w:tcPr>
          <w:p w14:paraId="1269EC4D">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基站数量</w:t>
            </w:r>
          </w:p>
        </w:tc>
        <w:tc>
          <w:tcPr>
            <w:tcW w:w="2124" w:type="dxa"/>
            <w:gridSpan w:val="2"/>
            <w:tcBorders>
              <w:top w:val="single" w:color="auto" w:sz="2" w:space="0"/>
              <w:left w:val="single" w:color="auto" w:sz="2" w:space="0"/>
              <w:bottom w:val="single" w:color="auto" w:sz="2" w:space="0"/>
              <w:right w:val="single" w:color="auto" w:sz="2" w:space="0"/>
            </w:tcBorders>
            <w:vAlign w:val="center"/>
          </w:tcPr>
          <w:p w14:paraId="049AF5EE">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数字普惠金融指数</w:t>
            </w:r>
          </w:p>
        </w:tc>
        <w:tc>
          <w:tcPr>
            <w:tcW w:w="1909" w:type="dxa"/>
            <w:gridSpan w:val="2"/>
            <w:tcBorders>
              <w:top w:val="single" w:color="auto" w:sz="2" w:space="0"/>
              <w:left w:val="single" w:color="auto" w:sz="2" w:space="0"/>
              <w:bottom w:val="single" w:color="auto" w:sz="2" w:space="0"/>
              <w:right w:val="nil"/>
            </w:tcBorders>
            <w:vAlign w:val="center"/>
          </w:tcPr>
          <w:p w14:paraId="47D96887">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每百人移动电话</w:t>
            </w:r>
          </w:p>
          <w:p w14:paraId="7A8BDE4D">
            <w:pPr>
              <w:widowControl/>
              <w:spacing w:before="60" w:after="60"/>
              <w:ind w:firstLine="0" w:firstLineChars="0"/>
              <w:jc w:val="center"/>
              <w:rPr>
                <w:rFonts w:hint="eastAsia" w:ascii="宋体" w:hAnsi="宋体" w:cs="宋体"/>
                <w:kern w:val="0"/>
                <w:sz w:val="18"/>
                <w:szCs w:val="18"/>
              </w:rPr>
            </w:pPr>
            <w:r>
              <w:rPr>
                <w:rFonts w:hint="eastAsia" w:ascii="宋体" w:hAnsi="宋体" w:cs="宋体"/>
                <w:kern w:val="0"/>
                <w:sz w:val="18"/>
                <w:szCs w:val="18"/>
              </w:rPr>
              <w:t>用户数</w:t>
            </w:r>
          </w:p>
        </w:tc>
      </w:tr>
      <w:tr w14:paraId="49397A7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tcBorders>
              <w:top w:val="single" w:color="auto" w:sz="4" w:space="0"/>
              <w:right w:val="single" w:color="auto" w:sz="2" w:space="0"/>
            </w:tcBorders>
            <w:vAlign w:val="center"/>
          </w:tcPr>
          <w:p w14:paraId="358FB051">
            <w:pPr>
              <w:widowControl/>
              <w:spacing w:before="60" w:after="60"/>
              <w:ind w:firstLine="0" w:firstLineChars="0"/>
              <w:jc w:val="left"/>
              <w:rPr>
                <w:rFonts w:eastAsia="楷体"/>
                <w:kern w:val="0"/>
                <w:sz w:val="18"/>
                <w:szCs w:val="18"/>
              </w:rPr>
            </w:pPr>
            <w:r>
              <w:rPr>
                <w:rFonts w:hint="eastAsia" w:eastAsia="楷体"/>
                <w:kern w:val="0"/>
                <w:sz w:val="18"/>
                <w:szCs w:val="18"/>
              </w:rPr>
              <w:t>Bigdata</w:t>
            </w:r>
          </w:p>
        </w:tc>
        <w:tc>
          <w:tcPr>
            <w:tcW w:w="861" w:type="dxa"/>
            <w:tcBorders>
              <w:top w:val="single" w:color="auto" w:sz="2" w:space="0"/>
              <w:left w:val="single" w:color="auto" w:sz="2" w:space="0"/>
              <w:bottom w:val="nil"/>
              <w:right w:val="single" w:color="auto" w:sz="2" w:space="0"/>
            </w:tcBorders>
            <w:vAlign w:val="center"/>
          </w:tcPr>
          <w:p w14:paraId="646BEFBC">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0.0587*</w:t>
            </w:r>
          </w:p>
          <w:p w14:paraId="1BD8F71C">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(0.0313)</w:t>
            </w:r>
          </w:p>
        </w:tc>
        <w:tc>
          <w:tcPr>
            <w:tcW w:w="870" w:type="dxa"/>
            <w:tcBorders>
              <w:top w:val="single" w:color="auto" w:sz="2" w:space="0"/>
              <w:left w:val="single" w:color="auto" w:sz="2" w:space="0"/>
              <w:bottom w:val="nil"/>
              <w:right w:val="single" w:color="auto" w:sz="2" w:space="0"/>
            </w:tcBorders>
            <w:vAlign w:val="center"/>
          </w:tcPr>
          <w:p w14:paraId="6D8CB1A7">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0.0703**</w:t>
            </w:r>
          </w:p>
          <w:p w14:paraId="4988549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(0.0329)</w:t>
            </w:r>
          </w:p>
        </w:tc>
        <w:tc>
          <w:tcPr>
            <w:tcW w:w="920" w:type="dxa"/>
            <w:tcBorders>
              <w:top w:val="single" w:color="auto" w:sz="2" w:space="0"/>
              <w:left w:val="single" w:color="auto" w:sz="2" w:space="0"/>
              <w:bottom w:val="nil"/>
              <w:right w:val="single" w:color="auto" w:sz="2" w:space="0"/>
            </w:tcBorders>
            <w:vAlign w:val="center"/>
          </w:tcPr>
          <w:p w14:paraId="0E23227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0.2286***</w:t>
            </w:r>
          </w:p>
          <w:p w14:paraId="74EE0CBD">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(0.0492)</w:t>
            </w:r>
          </w:p>
        </w:tc>
        <w:tc>
          <w:tcPr>
            <w:tcW w:w="959" w:type="dxa"/>
            <w:tcBorders>
              <w:top w:val="single" w:color="auto" w:sz="2" w:space="0"/>
              <w:left w:val="single" w:color="auto" w:sz="2" w:space="0"/>
              <w:bottom w:val="nil"/>
              <w:right w:val="single" w:color="auto" w:sz="2" w:space="0"/>
            </w:tcBorders>
            <w:vAlign w:val="center"/>
          </w:tcPr>
          <w:p w14:paraId="6B6BA2D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0.2328***</w:t>
            </w:r>
          </w:p>
          <w:p w14:paraId="1B543AB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(0.0492)</w:t>
            </w:r>
          </w:p>
        </w:tc>
        <w:tc>
          <w:tcPr>
            <w:tcW w:w="950" w:type="dxa"/>
            <w:tcBorders>
              <w:top w:val="single" w:color="auto" w:sz="2" w:space="0"/>
              <w:left w:val="single" w:color="auto" w:sz="2" w:space="0"/>
              <w:bottom w:val="nil"/>
              <w:right w:val="single" w:color="auto" w:sz="2" w:space="0"/>
            </w:tcBorders>
            <w:vAlign w:val="center"/>
          </w:tcPr>
          <w:p w14:paraId="095DB2D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0.4339***</w:t>
            </w:r>
          </w:p>
          <w:p w14:paraId="6AA2773C">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(0.1222)</w:t>
            </w:r>
          </w:p>
        </w:tc>
        <w:tc>
          <w:tcPr>
            <w:tcW w:w="960" w:type="dxa"/>
            <w:tcBorders>
              <w:top w:val="single" w:color="auto" w:sz="2" w:space="0"/>
              <w:left w:val="single" w:color="auto" w:sz="2" w:space="0"/>
              <w:bottom w:val="nil"/>
              <w:right w:val="single" w:color="auto" w:sz="2" w:space="0"/>
            </w:tcBorders>
            <w:vAlign w:val="center"/>
          </w:tcPr>
          <w:p w14:paraId="75C51B2D">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0.4266***</w:t>
            </w:r>
          </w:p>
          <w:p w14:paraId="25B07A25">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(0.1192)</w:t>
            </w:r>
          </w:p>
        </w:tc>
        <w:tc>
          <w:tcPr>
            <w:tcW w:w="970" w:type="dxa"/>
            <w:tcBorders>
              <w:top w:val="single" w:color="auto" w:sz="2" w:space="0"/>
              <w:left w:val="single" w:color="auto" w:sz="2" w:space="0"/>
              <w:bottom w:val="nil"/>
              <w:right w:val="single" w:color="auto" w:sz="2" w:space="0"/>
            </w:tcBorders>
            <w:vAlign w:val="center"/>
          </w:tcPr>
          <w:p w14:paraId="7E4AAD63">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0.0690***</w:t>
            </w:r>
          </w:p>
          <w:p w14:paraId="11EAA7E7">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(0.0157)</w:t>
            </w:r>
          </w:p>
        </w:tc>
        <w:tc>
          <w:tcPr>
            <w:tcW w:w="1154" w:type="dxa"/>
            <w:tcBorders>
              <w:top w:val="single" w:color="auto" w:sz="2" w:space="0"/>
              <w:left w:val="single" w:color="auto" w:sz="2" w:space="0"/>
              <w:bottom w:val="nil"/>
              <w:right w:val="single" w:color="auto" w:sz="2" w:space="0"/>
            </w:tcBorders>
            <w:vAlign w:val="center"/>
          </w:tcPr>
          <w:p w14:paraId="723802FC">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0.0639***</w:t>
            </w:r>
          </w:p>
          <w:p w14:paraId="69D774FB">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(0.0150)</w:t>
            </w:r>
          </w:p>
        </w:tc>
        <w:tc>
          <w:tcPr>
            <w:tcW w:w="926" w:type="dxa"/>
            <w:tcBorders>
              <w:top w:val="single" w:color="auto" w:sz="2" w:space="0"/>
              <w:left w:val="single" w:color="auto" w:sz="2" w:space="0"/>
              <w:bottom w:val="nil"/>
              <w:right w:val="single" w:color="auto" w:sz="2" w:space="0"/>
            </w:tcBorders>
            <w:vAlign w:val="center"/>
          </w:tcPr>
          <w:p w14:paraId="09AFAFB5">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0.0600***</w:t>
            </w:r>
          </w:p>
          <w:p w14:paraId="33F4632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(0.1163)</w:t>
            </w:r>
          </w:p>
        </w:tc>
        <w:tc>
          <w:tcPr>
            <w:tcW w:w="983" w:type="dxa"/>
            <w:tcBorders>
              <w:top w:val="single" w:color="auto" w:sz="2" w:space="0"/>
              <w:left w:val="single" w:color="auto" w:sz="2" w:space="0"/>
              <w:bottom w:val="nil"/>
              <w:right w:val="nil"/>
            </w:tcBorders>
            <w:vAlign w:val="center"/>
          </w:tcPr>
          <w:p w14:paraId="418CDC6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0.0588***</w:t>
            </w:r>
          </w:p>
          <w:p w14:paraId="53F06AAE">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(0.0185)</w:t>
            </w:r>
          </w:p>
        </w:tc>
      </w:tr>
      <w:tr w14:paraId="18CDFB4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tcBorders>
              <w:right w:val="single" w:color="auto" w:sz="2" w:space="0"/>
              <w:tl2br w:val="nil"/>
              <w:tr2bl w:val="nil"/>
            </w:tcBorders>
            <w:vAlign w:val="center"/>
          </w:tcPr>
          <w:p w14:paraId="3D1B03BD">
            <w:pPr>
              <w:widowControl/>
              <w:spacing w:before="60" w:after="60"/>
              <w:ind w:firstLine="0" w:firstLineChars="0"/>
              <w:jc w:val="left"/>
              <w:rPr>
                <w:rFonts w:eastAsia="楷体"/>
                <w:kern w:val="0"/>
                <w:sz w:val="18"/>
                <w:szCs w:val="18"/>
              </w:rPr>
            </w:pPr>
            <w:r>
              <w:rPr>
                <w:rFonts w:hint="eastAsia" w:eastAsia="楷体"/>
                <w:kern w:val="0"/>
                <w:sz w:val="18"/>
                <w:szCs w:val="18"/>
              </w:rPr>
              <w:t>控制变量一次项</w:t>
            </w:r>
          </w:p>
        </w:tc>
        <w:tc>
          <w:tcPr>
            <w:tcW w:w="861" w:type="dxa"/>
            <w:tcBorders>
              <w:top w:val="nil"/>
              <w:left w:val="single" w:color="auto" w:sz="2" w:space="0"/>
              <w:bottom w:val="nil"/>
              <w:right w:val="single" w:color="auto" w:sz="2" w:space="0"/>
            </w:tcBorders>
            <w:vAlign w:val="center"/>
          </w:tcPr>
          <w:p w14:paraId="506B367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No</w:t>
            </w:r>
          </w:p>
        </w:tc>
        <w:tc>
          <w:tcPr>
            <w:tcW w:w="870" w:type="dxa"/>
            <w:tcBorders>
              <w:top w:val="nil"/>
              <w:left w:val="single" w:color="auto" w:sz="2" w:space="0"/>
              <w:bottom w:val="nil"/>
              <w:right w:val="single" w:color="auto" w:sz="2" w:space="0"/>
            </w:tcBorders>
            <w:vAlign w:val="center"/>
          </w:tcPr>
          <w:p w14:paraId="3C152DAD">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0" w:type="dxa"/>
            <w:tcBorders>
              <w:top w:val="nil"/>
              <w:left w:val="single" w:color="auto" w:sz="2" w:space="0"/>
              <w:bottom w:val="nil"/>
              <w:right w:val="single" w:color="auto" w:sz="2" w:space="0"/>
            </w:tcBorders>
            <w:vAlign w:val="center"/>
          </w:tcPr>
          <w:p w14:paraId="13861367">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No</w:t>
            </w:r>
          </w:p>
        </w:tc>
        <w:tc>
          <w:tcPr>
            <w:tcW w:w="959" w:type="dxa"/>
            <w:tcBorders>
              <w:top w:val="nil"/>
              <w:left w:val="single" w:color="auto" w:sz="2" w:space="0"/>
              <w:bottom w:val="nil"/>
              <w:right w:val="single" w:color="auto" w:sz="2" w:space="0"/>
            </w:tcBorders>
            <w:vAlign w:val="center"/>
          </w:tcPr>
          <w:p w14:paraId="19A309D2">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0" w:type="dxa"/>
            <w:tcBorders>
              <w:top w:val="nil"/>
              <w:left w:val="single" w:color="auto" w:sz="2" w:space="0"/>
              <w:bottom w:val="nil"/>
              <w:right w:val="single" w:color="auto" w:sz="2" w:space="0"/>
            </w:tcBorders>
            <w:vAlign w:val="center"/>
          </w:tcPr>
          <w:p w14:paraId="1EBC87F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No</w:t>
            </w:r>
          </w:p>
        </w:tc>
        <w:tc>
          <w:tcPr>
            <w:tcW w:w="960" w:type="dxa"/>
            <w:tcBorders>
              <w:top w:val="nil"/>
              <w:left w:val="single" w:color="auto" w:sz="2" w:space="0"/>
              <w:bottom w:val="nil"/>
              <w:right w:val="single" w:color="auto" w:sz="2" w:space="0"/>
            </w:tcBorders>
            <w:vAlign w:val="center"/>
          </w:tcPr>
          <w:p w14:paraId="41B9F8C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70" w:type="dxa"/>
            <w:tcBorders>
              <w:top w:val="nil"/>
              <w:left w:val="single" w:color="auto" w:sz="2" w:space="0"/>
              <w:bottom w:val="nil"/>
              <w:right w:val="single" w:color="auto" w:sz="2" w:space="0"/>
            </w:tcBorders>
            <w:vAlign w:val="center"/>
          </w:tcPr>
          <w:p w14:paraId="168A04D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No</w:t>
            </w:r>
          </w:p>
        </w:tc>
        <w:tc>
          <w:tcPr>
            <w:tcW w:w="1154" w:type="dxa"/>
            <w:tcBorders>
              <w:top w:val="nil"/>
              <w:left w:val="single" w:color="auto" w:sz="2" w:space="0"/>
              <w:bottom w:val="nil"/>
              <w:right w:val="single" w:color="auto" w:sz="2" w:space="0"/>
            </w:tcBorders>
            <w:vAlign w:val="center"/>
          </w:tcPr>
          <w:p w14:paraId="47E9AE4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6" w:type="dxa"/>
            <w:tcBorders>
              <w:top w:val="nil"/>
              <w:left w:val="single" w:color="auto" w:sz="2" w:space="0"/>
              <w:bottom w:val="nil"/>
              <w:right w:val="single" w:color="auto" w:sz="2" w:space="0"/>
            </w:tcBorders>
            <w:vAlign w:val="center"/>
          </w:tcPr>
          <w:p w14:paraId="6AD0071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No</w:t>
            </w:r>
          </w:p>
        </w:tc>
        <w:tc>
          <w:tcPr>
            <w:tcW w:w="983" w:type="dxa"/>
            <w:tcBorders>
              <w:top w:val="nil"/>
              <w:left w:val="single" w:color="auto" w:sz="2" w:space="0"/>
              <w:bottom w:val="nil"/>
              <w:right w:val="nil"/>
            </w:tcBorders>
            <w:vAlign w:val="center"/>
          </w:tcPr>
          <w:p w14:paraId="49AD4F74">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r>
      <w:tr w14:paraId="0AAC19F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tcBorders>
              <w:right w:val="single" w:color="auto" w:sz="2" w:space="0"/>
              <w:tl2br w:val="nil"/>
              <w:tr2bl w:val="nil"/>
            </w:tcBorders>
            <w:vAlign w:val="center"/>
          </w:tcPr>
          <w:p w14:paraId="312D4FA6">
            <w:pPr>
              <w:widowControl/>
              <w:spacing w:before="60" w:after="60"/>
              <w:ind w:firstLine="0" w:firstLineChars="0"/>
              <w:jc w:val="left"/>
              <w:rPr>
                <w:rFonts w:eastAsia="楷体"/>
                <w:kern w:val="0"/>
                <w:sz w:val="18"/>
                <w:szCs w:val="18"/>
              </w:rPr>
            </w:pPr>
            <w:r>
              <w:rPr>
                <w:rFonts w:hint="eastAsia" w:eastAsia="楷体"/>
                <w:kern w:val="0"/>
                <w:sz w:val="18"/>
                <w:szCs w:val="18"/>
              </w:rPr>
              <w:t>控制变量二次项</w:t>
            </w:r>
          </w:p>
        </w:tc>
        <w:tc>
          <w:tcPr>
            <w:tcW w:w="861" w:type="dxa"/>
            <w:tcBorders>
              <w:top w:val="nil"/>
              <w:left w:val="single" w:color="auto" w:sz="2" w:space="0"/>
              <w:bottom w:val="nil"/>
              <w:right w:val="single" w:color="auto" w:sz="2" w:space="0"/>
            </w:tcBorders>
            <w:vAlign w:val="center"/>
          </w:tcPr>
          <w:p w14:paraId="32555505">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870" w:type="dxa"/>
            <w:tcBorders>
              <w:top w:val="nil"/>
              <w:left w:val="single" w:color="auto" w:sz="2" w:space="0"/>
              <w:bottom w:val="nil"/>
              <w:right w:val="single" w:color="auto" w:sz="2" w:space="0"/>
            </w:tcBorders>
            <w:vAlign w:val="center"/>
          </w:tcPr>
          <w:p w14:paraId="0EAB5FC2">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0" w:type="dxa"/>
            <w:tcBorders>
              <w:top w:val="nil"/>
              <w:left w:val="single" w:color="auto" w:sz="2" w:space="0"/>
              <w:bottom w:val="nil"/>
              <w:right w:val="single" w:color="auto" w:sz="2" w:space="0"/>
            </w:tcBorders>
            <w:vAlign w:val="center"/>
          </w:tcPr>
          <w:p w14:paraId="5F855F21">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9" w:type="dxa"/>
            <w:tcBorders>
              <w:top w:val="nil"/>
              <w:left w:val="single" w:color="auto" w:sz="2" w:space="0"/>
              <w:bottom w:val="nil"/>
              <w:right w:val="single" w:color="auto" w:sz="2" w:space="0"/>
            </w:tcBorders>
            <w:vAlign w:val="center"/>
          </w:tcPr>
          <w:p w14:paraId="1A9F640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0" w:type="dxa"/>
            <w:tcBorders>
              <w:top w:val="nil"/>
              <w:left w:val="single" w:color="auto" w:sz="2" w:space="0"/>
              <w:bottom w:val="nil"/>
              <w:right w:val="single" w:color="auto" w:sz="2" w:space="0"/>
            </w:tcBorders>
            <w:vAlign w:val="center"/>
          </w:tcPr>
          <w:p w14:paraId="6FCD681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60" w:type="dxa"/>
            <w:tcBorders>
              <w:top w:val="nil"/>
              <w:left w:val="single" w:color="auto" w:sz="2" w:space="0"/>
              <w:bottom w:val="nil"/>
              <w:right w:val="single" w:color="auto" w:sz="2" w:space="0"/>
            </w:tcBorders>
            <w:vAlign w:val="center"/>
          </w:tcPr>
          <w:p w14:paraId="361F0463">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70" w:type="dxa"/>
            <w:tcBorders>
              <w:top w:val="nil"/>
              <w:left w:val="single" w:color="auto" w:sz="2" w:space="0"/>
              <w:bottom w:val="nil"/>
              <w:right w:val="single" w:color="auto" w:sz="2" w:space="0"/>
            </w:tcBorders>
            <w:vAlign w:val="center"/>
          </w:tcPr>
          <w:p w14:paraId="5EF80F1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1154" w:type="dxa"/>
            <w:tcBorders>
              <w:top w:val="nil"/>
              <w:left w:val="single" w:color="auto" w:sz="2" w:space="0"/>
              <w:bottom w:val="nil"/>
              <w:right w:val="single" w:color="auto" w:sz="2" w:space="0"/>
            </w:tcBorders>
            <w:vAlign w:val="center"/>
          </w:tcPr>
          <w:p w14:paraId="6D690B33">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6" w:type="dxa"/>
            <w:tcBorders>
              <w:top w:val="nil"/>
              <w:left w:val="single" w:color="auto" w:sz="2" w:space="0"/>
              <w:bottom w:val="nil"/>
              <w:right w:val="single" w:color="auto" w:sz="2" w:space="0"/>
            </w:tcBorders>
            <w:vAlign w:val="center"/>
          </w:tcPr>
          <w:p w14:paraId="71DF95C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83" w:type="dxa"/>
            <w:tcBorders>
              <w:top w:val="nil"/>
              <w:left w:val="single" w:color="auto" w:sz="2" w:space="0"/>
              <w:bottom w:val="nil"/>
              <w:right w:val="nil"/>
            </w:tcBorders>
            <w:vAlign w:val="center"/>
          </w:tcPr>
          <w:p w14:paraId="298266BD">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r>
      <w:tr w14:paraId="43381412">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tcBorders>
              <w:right w:val="single" w:color="auto" w:sz="2" w:space="0"/>
              <w:tl2br w:val="nil"/>
              <w:tr2bl w:val="nil"/>
            </w:tcBorders>
            <w:vAlign w:val="center"/>
          </w:tcPr>
          <w:p w14:paraId="076D8A4E">
            <w:pPr>
              <w:widowControl/>
              <w:spacing w:before="60" w:after="60"/>
              <w:ind w:firstLine="0" w:firstLineChars="0"/>
              <w:jc w:val="left"/>
              <w:rPr>
                <w:rFonts w:eastAsia="楷体"/>
                <w:kern w:val="0"/>
                <w:sz w:val="18"/>
                <w:szCs w:val="18"/>
              </w:rPr>
            </w:pPr>
            <w:r>
              <w:rPr>
                <w:rFonts w:hint="eastAsia" w:eastAsia="楷体"/>
                <w:kern w:val="0"/>
                <w:sz w:val="18"/>
                <w:szCs w:val="18"/>
              </w:rPr>
              <w:t>年份固定效应</w:t>
            </w:r>
          </w:p>
        </w:tc>
        <w:tc>
          <w:tcPr>
            <w:tcW w:w="861" w:type="dxa"/>
            <w:tcBorders>
              <w:top w:val="nil"/>
              <w:left w:val="single" w:color="auto" w:sz="2" w:space="0"/>
              <w:bottom w:val="nil"/>
              <w:right w:val="single" w:color="auto" w:sz="2" w:space="0"/>
            </w:tcBorders>
            <w:vAlign w:val="center"/>
          </w:tcPr>
          <w:p w14:paraId="105F76D4">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870" w:type="dxa"/>
            <w:tcBorders>
              <w:top w:val="nil"/>
              <w:left w:val="single" w:color="auto" w:sz="2" w:space="0"/>
              <w:bottom w:val="nil"/>
              <w:right w:val="single" w:color="auto" w:sz="2" w:space="0"/>
            </w:tcBorders>
            <w:vAlign w:val="center"/>
          </w:tcPr>
          <w:p w14:paraId="395E681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0" w:type="dxa"/>
            <w:tcBorders>
              <w:top w:val="nil"/>
              <w:left w:val="single" w:color="auto" w:sz="2" w:space="0"/>
              <w:bottom w:val="nil"/>
              <w:right w:val="single" w:color="auto" w:sz="2" w:space="0"/>
            </w:tcBorders>
            <w:vAlign w:val="center"/>
          </w:tcPr>
          <w:p w14:paraId="75CC730D">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9" w:type="dxa"/>
            <w:tcBorders>
              <w:top w:val="nil"/>
              <w:left w:val="single" w:color="auto" w:sz="2" w:space="0"/>
              <w:bottom w:val="nil"/>
              <w:right w:val="single" w:color="auto" w:sz="2" w:space="0"/>
            </w:tcBorders>
            <w:vAlign w:val="center"/>
          </w:tcPr>
          <w:p w14:paraId="3F66B01C">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0" w:type="dxa"/>
            <w:tcBorders>
              <w:top w:val="nil"/>
              <w:left w:val="single" w:color="auto" w:sz="2" w:space="0"/>
              <w:bottom w:val="nil"/>
              <w:right w:val="single" w:color="auto" w:sz="2" w:space="0"/>
            </w:tcBorders>
            <w:vAlign w:val="center"/>
          </w:tcPr>
          <w:p w14:paraId="617EFBB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60" w:type="dxa"/>
            <w:tcBorders>
              <w:top w:val="nil"/>
              <w:left w:val="single" w:color="auto" w:sz="2" w:space="0"/>
              <w:bottom w:val="nil"/>
              <w:right w:val="single" w:color="auto" w:sz="2" w:space="0"/>
            </w:tcBorders>
            <w:vAlign w:val="center"/>
          </w:tcPr>
          <w:p w14:paraId="5F8B5147">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70" w:type="dxa"/>
            <w:tcBorders>
              <w:top w:val="nil"/>
              <w:left w:val="single" w:color="auto" w:sz="2" w:space="0"/>
              <w:bottom w:val="nil"/>
              <w:right w:val="single" w:color="auto" w:sz="2" w:space="0"/>
            </w:tcBorders>
            <w:vAlign w:val="center"/>
          </w:tcPr>
          <w:p w14:paraId="7EB9FAA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1154" w:type="dxa"/>
            <w:tcBorders>
              <w:top w:val="nil"/>
              <w:left w:val="single" w:color="auto" w:sz="2" w:space="0"/>
              <w:bottom w:val="nil"/>
              <w:right w:val="single" w:color="auto" w:sz="2" w:space="0"/>
            </w:tcBorders>
            <w:vAlign w:val="center"/>
          </w:tcPr>
          <w:p w14:paraId="3FD23ED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6" w:type="dxa"/>
            <w:tcBorders>
              <w:top w:val="nil"/>
              <w:left w:val="single" w:color="auto" w:sz="2" w:space="0"/>
              <w:bottom w:val="nil"/>
              <w:right w:val="single" w:color="auto" w:sz="2" w:space="0"/>
            </w:tcBorders>
            <w:vAlign w:val="center"/>
          </w:tcPr>
          <w:p w14:paraId="7FC1E4AB">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83" w:type="dxa"/>
            <w:tcBorders>
              <w:top w:val="nil"/>
              <w:left w:val="single" w:color="auto" w:sz="2" w:space="0"/>
              <w:bottom w:val="nil"/>
              <w:right w:val="nil"/>
            </w:tcBorders>
            <w:vAlign w:val="center"/>
          </w:tcPr>
          <w:p w14:paraId="4C6E6C2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r>
      <w:tr w14:paraId="680EAD3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dxa"/>
            <w:tcBorders>
              <w:bottom w:val="single" w:color="auto" w:sz="4" w:space="0"/>
              <w:right w:val="single" w:color="auto" w:sz="2" w:space="0"/>
              <w:tl2br w:val="nil"/>
              <w:tr2bl w:val="nil"/>
            </w:tcBorders>
            <w:vAlign w:val="center"/>
          </w:tcPr>
          <w:p w14:paraId="5966D2B3">
            <w:pPr>
              <w:widowControl/>
              <w:spacing w:before="60" w:after="60"/>
              <w:ind w:firstLine="0" w:firstLineChars="0"/>
              <w:jc w:val="left"/>
              <w:rPr>
                <w:rFonts w:eastAsia="楷体"/>
                <w:kern w:val="0"/>
                <w:sz w:val="18"/>
                <w:szCs w:val="18"/>
              </w:rPr>
            </w:pPr>
            <w:r>
              <w:rPr>
                <w:rFonts w:hint="eastAsia" w:eastAsia="楷体"/>
                <w:kern w:val="0"/>
                <w:sz w:val="18"/>
                <w:szCs w:val="18"/>
              </w:rPr>
              <w:t>城市固定效应</w:t>
            </w:r>
          </w:p>
        </w:tc>
        <w:tc>
          <w:tcPr>
            <w:tcW w:w="861" w:type="dxa"/>
            <w:tcBorders>
              <w:top w:val="nil"/>
              <w:left w:val="single" w:color="auto" w:sz="2" w:space="0"/>
              <w:bottom w:val="single" w:color="auto" w:sz="4" w:space="0"/>
              <w:right w:val="single" w:color="auto" w:sz="2" w:space="0"/>
            </w:tcBorders>
            <w:vAlign w:val="center"/>
          </w:tcPr>
          <w:p w14:paraId="58AE06E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870" w:type="dxa"/>
            <w:tcBorders>
              <w:top w:val="nil"/>
              <w:left w:val="single" w:color="auto" w:sz="2" w:space="0"/>
              <w:bottom w:val="single" w:color="auto" w:sz="4" w:space="0"/>
              <w:right w:val="single" w:color="auto" w:sz="2" w:space="0"/>
            </w:tcBorders>
            <w:vAlign w:val="center"/>
          </w:tcPr>
          <w:p w14:paraId="274B98A5">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0" w:type="dxa"/>
            <w:tcBorders>
              <w:top w:val="nil"/>
              <w:left w:val="single" w:color="auto" w:sz="2" w:space="0"/>
              <w:bottom w:val="single" w:color="auto" w:sz="4" w:space="0"/>
              <w:right w:val="single" w:color="auto" w:sz="2" w:space="0"/>
            </w:tcBorders>
            <w:vAlign w:val="center"/>
          </w:tcPr>
          <w:p w14:paraId="1A2BCBC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9" w:type="dxa"/>
            <w:tcBorders>
              <w:top w:val="nil"/>
              <w:left w:val="single" w:color="auto" w:sz="2" w:space="0"/>
              <w:bottom w:val="single" w:color="auto" w:sz="4" w:space="0"/>
              <w:right w:val="single" w:color="auto" w:sz="2" w:space="0"/>
            </w:tcBorders>
            <w:vAlign w:val="center"/>
          </w:tcPr>
          <w:p w14:paraId="1D358955">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50" w:type="dxa"/>
            <w:tcBorders>
              <w:top w:val="nil"/>
              <w:left w:val="single" w:color="auto" w:sz="2" w:space="0"/>
              <w:bottom w:val="single" w:color="auto" w:sz="4" w:space="0"/>
              <w:right w:val="single" w:color="auto" w:sz="2" w:space="0"/>
            </w:tcBorders>
            <w:vAlign w:val="center"/>
          </w:tcPr>
          <w:p w14:paraId="29E234E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60" w:type="dxa"/>
            <w:tcBorders>
              <w:top w:val="nil"/>
              <w:left w:val="single" w:color="auto" w:sz="2" w:space="0"/>
              <w:bottom w:val="single" w:color="auto" w:sz="4" w:space="0"/>
              <w:right w:val="single" w:color="auto" w:sz="2" w:space="0"/>
            </w:tcBorders>
            <w:vAlign w:val="center"/>
          </w:tcPr>
          <w:p w14:paraId="66147681">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70" w:type="dxa"/>
            <w:tcBorders>
              <w:top w:val="nil"/>
              <w:left w:val="single" w:color="auto" w:sz="2" w:space="0"/>
              <w:bottom w:val="single" w:color="auto" w:sz="4" w:space="0"/>
              <w:right w:val="single" w:color="auto" w:sz="2" w:space="0"/>
            </w:tcBorders>
            <w:vAlign w:val="center"/>
          </w:tcPr>
          <w:p w14:paraId="3A1324FB">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1154" w:type="dxa"/>
            <w:tcBorders>
              <w:top w:val="nil"/>
              <w:left w:val="single" w:color="auto" w:sz="2" w:space="0"/>
              <w:bottom w:val="single" w:color="auto" w:sz="4" w:space="0"/>
              <w:right w:val="single" w:color="auto" w:sz="2" w:space="0"/>
            </w:tcBorders>
            <w:vAlign w:val="center"/>
          </w:tcPr>
          <w:p w14:paraId="0B7E7D2A">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26" w:type="dxa"/>
            <w:tcBorders>
              <w:top w:val="nil"/>
              <w:left w:val="single" w:color="auto" w:sz="2" w:space="0"/>
              <w:bottom w:val="single" w:color="auto" w:sz="4" w:space="0"/>
              <w:right w:val="single" w:color="auto" w:sz="2" w:space="0"/>
            </w:tcBorders>
            <w:vAlign w:val="center"/>
          </w:tcPr>
          <w:p w14:paraId="0E946EC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c>
          <w:tcPr>
            <w:tcW w:w="983" w:type="dxa"/>
            <w:tcBorders>
              <w:top w:val="nil"/>
              <w:left w:val="single" w:color="auto" w:sz="2" w:space="0"/>
              <w:bottom w:val="nil"/>
              <w:right w:val="nil"/>
            </w:tcBorders>
            <w:vAlign w:val="center"/>
          </w:tcPr>
          <w:p w14:paraId="6F6A9CC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Yes</w:t>
            </w:r>
          </w:p>
        </w:tc>
      </w:tr>
      <w:tr w14:paraId="06DE90A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1630" w:type="dxa"/>
            <w:tcBorders>
              <w:top w:val="single" w:color="auto" w:sz="4" w:space="0"/>
              <w:right w:val="single" w:color="auto" w:sz="2" w:space="0"/>
              <w:tl2br w:val="nil"/>
              <w:tr2bl w:val="nil"/>
            </w:tcBorders>
            <w:vAlign w:val="center"/>
          </w:tcPr>
          <w:p w14:paraId="16179569">
            <w:pPr>
              <w:widowControl/>
              <w:spacing w:before="60" w:after="60"/>
              <w:ind w:firstLine="0" w:firstLineChars="0"/>
              <w:jc w:val="left"/>
              <w:rPr>
                <w:rFonts w:eastAsia="楷体"/>
                <w:kern w:val="0"/>
                <w:sz w:val="18"/>
                <w:szCs w:val="18"/>
              </w:rPr>
            </w:pPr>
            <w:r>
              <w:rPr>
                <w:rFonts w:hint="eastAsia" w:eastAsia="楷体"/>
                <w:kern w:val="0"/>
                <w:sz w:val="18"/>
                <w:szCs w:val="18"/>
              </w:rPr>
              <w:t>N</w:t>
            </w:r>
          </w:p>
        </w:tc>
        <w:tc>
          <w:tcPr>
            <w:tcW w:w="861" w:type="dxa"/>
            <w:tcBorders>
              <w:top w:val="single" w:color="auto" w:sz="4" w:space="0"/>
              <w:left w:val="single" w:color="auto" w:sz="2" w:space="0"/>
              <w:right w:val="single" w:color="auto" w:sz="2" w:space="0"/>
            </w:tcBorders>
            <w:vAlign w:val="center"/>
          </w:tcPr>
          <w:p w14:paraId="21CB97BE">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870" w:type="dxa"/>
            <w:tcBorders>
              <w:top w:val="single" w:color="auto" w:sz="4" w:space="0"/>
              <w:left w:val="single" w:color="auto" w:sz="2" w:space="0"/>
              <w:right w:val="single" w:color="auto" w:sz="2" w:space="0"/>
            </w:tcBorders>
            <w:vAlign w:val="center"/>
          </w:tcPr>
          <w:p w14:paraId="1A89092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20" w:type="dxa"/>
            <w:tcBorders>
              <w:top w:val="single" w:color="auto" w:sz="4" w:space="0"/>
              <w:left w:val="single" w:color="auto" w:sz="2" w:space="0"/>
              <w:right w:val="single" w:color="auto" w:sz="2" w:space="0"/>
            </w:tcBorders>
            <w:vAlign w:val="center"/>
          </w:tcPr>
          <w:p w14:paraId="1630C854">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59" w:type="dxa"/>
            <w:tcBorders>
              <w:top w:val="single" w:color="auto" w:sz="4" w:space="0"/>
              <w:left w:val="single" w:color="auto" w:sz="2" w:space="0"/>
              <w:right w:val="single" w:color="auto" w:sz="2" w:space="0"/>
            </w:tcBorders>
            <w:vAlign w:val="center"/>
          </w:tcPr>
          <w:p w14:paraId="688209F7">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50" w:type="dxa"/>
            <w:tcBorders>
              <w:top w:val="single" w:color="auto" w:sz="4" w:space="0"/>
              <w:left w:val="single" w:color="auto" w:sz="2" w:space="0"/>
              <w:right w:val="single" w:color="auto" w:sz="2" w:space="0"/>
            </w:tcBorders>
            <w:vAlign w:val="center"/>
          </w:tcPr>
          <w:p w14:paraId="5FC5458F">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60" w:type="dxa"/>
            <w:tcBorders>
              <w:top w:val="single" w:color="auto" w:sz="4" w:space="0"/>
              <w:left w:val="single" w:color="auto" w:sz="2" w:space="0"/>
              <w:right w:val="single" w:color="auto" w:sz="2" w:space="0"/>
            </w:tcBorders>
            <w:vAlign w:val="center"/>
          </w:tcPr>
          <w:p w14:paraId="2E0A7051">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70" w:type="dxa"/>
            <w:tcBorders>
              <w:top w:val="single" w:color="auto" w:sz="4" w:space="0"/>
              <w:left w:val="single" w:color="auto" w:sz="2" w:space="0"/>
              <w:right w:val="single" w:color="auto" w:sz="2" w:space="0"/>
            </w:tcBorders>
            <w:vAlign w:val="center"/>
          </w:tcPr>
          <w:p w14:paraId="6183A672">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1154" w:type="dxa"/>
            <w:tcBorders>
              <w:top w:val="single" w:color="auto" w:sz="4" w:space="0"/>
              <w:left w:val="single" w:color="auto" w:sz="2" w:space="0"/>
              <w:right w:val="single" w:color="auto" w:sz="2" w:space="0"/>
            </w:tcBorders>
            <w:vAlign w:val="center"/>
          </w:tcPr>
          <w:p w14:paraId="12954726">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26" w:type="dxa"/>
            <w:tcBorders>
              <w:top w:val="single" w:color="auto" w:sz="4" w:space="0"/>
              <w:left w:val="single" w:color="auto" w:sz="2" w:space="0"/>
              <w:right w:val="single" w:color="auto" w:sz="2" w:space="0"/>
            </w:tcBorders>
            <w:vAlign w:val="center"/>
          </w:tcPr>
          <w:p w14:paraId="03D72738">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c>
          <w:tcPr>
            <w:tcW w:w="983" w:type="dxa"/>
            <w:tcBorders>
              <w:top w:val="nil"/>
              <w:left w:val="single" w:color="auto" w:sz="2" w:space="0"/>
              <w:right w:val="nil"/>
            </w:tcBorders>
            <w:vAlign w:val="center"/>
          </w:tcPr>
          <w:p w14:paraId="70083B79">
            <w:pPr>
              <w:widowControl/>
              <w:spacing w:before="60" w:after="60"/>
              <w:ind w:firstLine="0" w:firstLineChars="0"/>
              <w:jc w:val="center"/>
              <w:rPr>
                <w:rFonts w:eastAsia="楷体"/>
                <w:spacing w:val="-20"/>
                <w:kern w:val="0"/>
                <w:sz w:val="18"/>
                <w:szCs w:val="18"/>
              </w:rPr>
            </w:pPr>
            <w:r>
              <w:rPr>
                <w:rFonts w:hint="eastAsia" w:eastAsia="楷体"/>
                <w:spacing w:val="-20"/>
                <w:kern w:val="0"/>
                <w:sz w:val="18"/>
                <w:szCs w:val="18"/>
              </w:rPr>
              <w:t>3679</w:t>
            </w:r>
          </w:p>
        </w:tc>
      </w:tr>
    </w:tbl>
    <w:p w14:paraId="14DEA72D">
      <w:pPr>
        <w:ind w:left="0" w:leftChars="0" w:firstLine="0" w:firstLineChars="0"/>
        <w:rPr>
          <w:rFonts w:hint="eastAsia" w:ascii="仿宋" w:hAnsi="仿宋" w:eastAsia="仿宋"/>
          <w:b/>
          <w:kern w:val="0"/>
          <w:sz w:val="28"/>
          <w:szCs w:val="28"/>
        </w:rPr>
      </w:pPr>
      <w:r>
        <w:rPr>
          <w:rFonts w:hint="eastAsia" w:ascii="仿宋" w:hAnsi="仿宋" w:eastAsia="仿宋"/>
          <w:b/>
          <w:kern w:val="0"/>
          <w:sz w:val="28"/>
          <w:szCs w:val="28"/>
        </w:rPr>
        <w:br w:type="page"/>
      </w:r>
    </w:p>
    <w:p w14:paraId="235F8479">
      <w:pPr>
        <w:ind w:firstLine="0" w:firstLineChars="0"/>
        <w:jc w:val="center"/>
        <w:outlineLvl w:val="0"/>
        <w:rPr>
          <w:rFonts w:hint="eastAsia" w:eastAsia="仿宋"/>
          <w:lang w:val="en-US" w:eastAsia="zh-CN"/>
        </w:rPr>
      </w:pPr>
      <w:r>
        <w:rPr>
          <w:rFonts w:hint="eastAsia" w:ascii="仿宋" w:hAnsi="仿宋" w:eastAsia="仿宋"/>
          <w:b/>
          <w:kern w:val="0"/>
          <w:sz w:val="28"/>
          <w:szCs w:val="28"/>
        </w:rPr>
        <w:t>附录</w:t>
      </w:r>
      <w:r>
        <w:rPr>
          <w:rFonts w:hint="eastAsia" w:eastAsia="仿宋"/>
          <w:b/>
          <w:kern w:val="0"/>
          <w:sz w:val="28"/>
          <w:szCs w:val="28"/>
          <w:lang w:val="en-US" w:eastAsia="zh-CN"/>
        </w:rPr>
        <w:t>5</w:t>
      </w:r>
      <w:r>
        <w:rPr>
          <w:rFonts w:hint="eastAsia" w:ascii="仿宋" w:hAnsi="仿宋" w:eastAsia="仿宋"/>
          <w:b/>
          <w:kern w:val="0"/>
          <w:sz w:val="28"/>
          <w:szCs w:val="28"/>
        </w:rPr>
        <w:t>.</w:t>
      </w:r>
      <w:r>
        <w:rPr>
          <w:rFonts w:hint="eastAsia" w:ascii="仿宋" w:hAnsi="仿宋" w:eastAsia="仿宋"/>
          <w:b/>
          <w:kern w:val="0"/>
          <w:sz w:val="28"/>
          <w:szCs w:val="28"/>
          <w:lang w:val="en-US" w:eastAsia="zh-CN"/>
        </w:rPr>
        <w:t xml:space="preserve"> </w:t>
      </w:r>
      <w:r>
        <w:rPr>
          <w:rFonts w:hint="eastAsia" w:ascii="仿宋" w:hAnsi="仿宋" w:eastAsia="仿宋"/>
          <w:b/>
          <w:kern w:val="0"/>
          <w:sz w:val="28"/>
          <w:szCs w:val="28"/>
        </w:rPr>
        <w:t>稳健性检验</w:t>
      </w:r>
      <w:r>
        <w:rPr>
          <w:rFonts w:hint="eastAsia" w:ascii="仿宋" w:hAnsi="仿宋" w:eastAsia="仿宋"/>
          <w:b/>
          <w:kern w:val="0"/>
          <w:sz w:val="28"/>
          <w:szCs w:val="28"/>
          <w:lang w:val="en-US" w:eastAsia="zh-CN"/>
        </w:rPr>
        <w:t>结果</w:t>
      </w:r>
    </w:p>
    <w:p w14:paraId="2269E5D5">
      <w:pPr>
        <w:spacing w:line="360" w:lineRule="auto"/>
        <w:ind w:firstLine="0" w:firstLineChars="0"/>
        <w:outlineLvl w:val="1"/>
        <w:rPr>
          <w:rFonts w:eastAsia="黑体"/>
          <w:b/>
          <w:bCs/>
          <w:szCs w:val="28"/>
        </w:rPr>
      </w:pPr>
      <w:r>
        <w:rPr>
          <w:rFonts w:hint="eastAsia" w:eastAsia="黑体"/>
          <w:b/>
          <w:bCs/>
          <w:szCs w:val="28"/>
        </w:rPr>
        <w:t>一、加入前定变量</w:t>
      </w:r>
    </w:p>
    <w:p w14:paraId="53A2E7FB">
      <w:pPr>
        <w:wordWrap w:val="0"/>
        <w:topLinePunct/>
        <w:ind w:firstLine="446"/>
      </w:pPr>
      <w:r>
        <w:rPr>
          <w:rFonts w:hint="eastAsia"/>
        </w:rPr>
        <w:t>初始科产融合水平和大数据基础良好的城市更易获批建设大数据试验区。为缓解自选择性对实证结果的影响，本文借鉴华岳和叶芸（2023）的做法，使用2010年城市科产融合水平与时间趋势项的交互项作为前定变量加入回归模型重新进行估计。由表</w:t>
      </w:r>
      <w:r>
        <w:rPr>
          <w:rFonts w:hint="eastAsia"/>
          <w:lang w:val="en-US" w:eastAsia="zh-CN"/>
        </w:rPr>
        <w:t>A2</w:t>
      </w:r>
      <w:r>
        <w:rPr>
          <w:rFonts w:hint="eastAsia"/>
        </w:rPr>
        <w:t>第（1）列可知，大数据试验区的系数显著为正，表明本文基准结论稳健可靠。</w:t>
      </w:r>
    </w:p>
    <w:p w14:paraId="2BAA6C97">
      <w:pPr>
        <w:spacing w:line="360" w:lineRule="auto"/>
        <w:ind w:firstLine="0" w:firstLineChars="0"/>
        <w:outlineLvl w:val="1"/>
        <w:rPr>
          <w:rFonts w:eastAsia="黑体"/>
          <w:b/>
          <w:bCs/>
          <w:szCs w:val="28"/>
        </w:rPr>
      </w:pPr>
      <w:r>
        <w:rPr>
          <w:rFonts w:hint="eastAsia" w:eastAsia="黑体"/>
          <w:b/>
          <w:bCs/>
          <w:szCs w:val="28"/>
        </w:rPr>
        <w:t>二、剔除特殊样本</w:t>
      </w:r>
      <w:bookmarkStart w:id="5" w:name="_GoBack"/>
      <w:bookmarkEnd w:id="5"/>
    </w:p>
    <w:p w14:paraId="44149F9E">
      <w:pPr>
        <w:wordWrap w:val="0"/>
        <w:topLinePunct/>
        <w:ind w:firstLine="420" w:firstLineChars="0"/>
      </w:pPr>
      <w:r>
        <w:rPr>
          <w:rFonts w:hint="eastAsia"/>
        </w:rPr>
        <w:t>考虑到城市间的创新水平存在较大差异，并且</w:t>
      </w:r>
      <w:r>
        <w:t>省会城市、副省级城市、直辖市和计划单列市</w:t>
      </w:r>
      <w:r>
        <w:rPr>
          <w:rFonts w:hint="eastAsia"/>
        </w:rPr>
        <w:t>在政策扶持、创新基础以及人力资本等方面明显有别于其他城市。因此，本文在剔除以上高行政等级城市的样本后重新进行回归，结果如表</w:t>
      </w:r>
      <w:r>
        <w:rPr>
          <w:rFonts w:hint="eastAsia"/>
          <w:lang w:val="en-US" w:eastAsia="zh-CN"/>
        </w:rPr>
        <w:t>A2</w:t>
      </w:r>
      <w:r>
        <w:rPr>
          <w:rFonts w:hint="eastAsia"/>
        </w:rPr>
        <w:t>第（2）列所示，大数据试验区的系数显著为正，说明本文基准结论较为稳健。</w:t>
      </w:r>
    </w:p>
    <w:p w14:paraId="663C442B">
      <w:pPr>
        <w:spacing w:line="360" w:lineRule="auto"/>
        <w:ind w:firstLine="0" w:firstLineChars="0"/>
        <w:outlineLvl w:val="1"/>
        <w:rPr>
          <w:rFonts w:eastAsia="黑体"/>
          <w:b/>
          <w:bCs/>
          <w:szCs w:val="28"/>
        </w:rPr>
      </w:pPr>
      <w:r>
        <w:rPr>
          <w:rFonts w:hint="eastAsia" w:eastAsia="黑体"/>
          <w:b/>
          <w:bCs/>
          <w:szCs w:val="28"/>
        </w:rPr>
        <w:t>三、考虑省份时间效应</w:t>
      </w:r>
    </w:p>
    <w:p w14:paraId="4E355EA0">
      <w:pPr>
        <w:pStyle w:val="45"/>
        <w:keepNext w:val="0"/>
        <w:keepLines w:val="0"/>
        <w:pageBreakBefore w:val="0"/>
        <w:widowControl w:val="0"/>
        <w:kinsoku/>
        <w:wordWrap/>
        <w:overflowPunct/>
        <w:topLinePunct w:val="0"/>
        <w:autoSpaceDE/>
        <w:autoSpaceDN/>
        <w:bidi w:val="0"/>
        <w:adjustRightInd/>
        <w:snapToGrid/>
        <w:spacing w:before="0" w:after="0"/>
        <w:ind w:firstLine="466"/>
        <w:jc w:val="both"/>
        <w:textAlignment w:val="auto"/>
      </w:pPr>
      <w:r>
        <w:rPr>
          <w:rFonts w:hint="eastAsia"/>
        </w:rPr>
        <w:t>鉴于省域是中国政府治理结构中的重要行政节点，同一省域内的城市往往在政策环境、资源禀赋等方面高度相似。因此，本文在回归模型中进一步控制了省份和时间的交互项，以此控制不同省份随时间变动的影响。从表</w:t>
      </w:r>
      <w:r>
        <w:rPr>
          <w:rFonts w:hint="eastAsia"/>
          <w:lang w:val="en-US" w:eastAsia="zh-CN"/>
        </w:rPr>
        <w:t>A2</w:t>
      </w:r>
      <w:r>
        <w:rPr>
          <w:rFonts w:hint="eastAsia"/>
        </w:rPr>
        <w:t>第（3）列的回归结果可知，在控制了省份和时间交叉固定效应后，大数据试验区的系数仍显著为正，研究结论依然成立。</w:t>
      </w:r>
    </w:p>
    <w:p w14:paraId="707BF65D">
      <w:pPr>
        <w:spacing w:line="360" w:lineRule="auto"/>
        <w:ind w:firstLine="0" w:firstLineChars="0"/>
        <w:outlineLvl w:val="1"/>
        <w:rPr>
          <w:rFonts w:hint="eastAsia" w:eastAsia="黑体"/>
          <w:b/>
          <w:bCs/>
          <w:szCs w:val="28"/>
          <w:lang w:val="en-US" w:eastAsia="zh-CN"/>
        </w:rPr>
      </w:pPr>
      <w:r>
        <w:rPr>
          <w:rFonts w:hint="eastAsia" w:eastAsia="黑体"/>
          <w:b/>
          <w:bCs/>
          <w:szCs w:val="28"/>
        </w:rPr>
        <w:t>四、排除其他政策</w:t>
      </w:r>
      <w:r>
        <w:rPr>
          <w:rFonts w:hint="eastAsia" w:eastAsia="黑体"/>
          <w:b/>
          <w:bCs/>
          <w:szCs w:val="28"/>
          <w:lang w:val="en-US" w:eastAsia="zh-CN"/>
        </w:rPr>
        <w:t>影响</w:t>
      </w:r>
    </w:p>
    <w:p w14:paraId="5EA7509C">
      <w:pPr>
        <w:wordWrap w:val="0"/>
        <w:topLinePunct/>
        <w:ind w:firstLine="446"/>
        <w:rPr>
          <w:rFonts w:hint="eastAsia"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t>为排除研究期内其他相关政策对估计结果的干扰。本文将2008年开始实施的</w:t>
      </w:r>
      <w:r>
        <w:rPr>
          <w:rFonts w:hint="eastAsia" w:ascii="Times New Roman" w:hAnsi="Times New Roman"/>
          <w:color w:val="000000" w:themeColor="text1"/>
          <w14:textFill>
            <w14:solidFill>
              <w14:schemeClr w14:val="tx1"/>
            </w14:solidFill>
          </w14:textFill>
        </w:rPr>
        <w:t>创新型城市</w:t>
      </w:r>
      <w:r>
        <w:rPr>
          <w:rFonts w:hint="eastAsia" w:ascii="Times New Roman" w:hAnsi="Times New Roman"/>
          <w:color w:val="000000" w:themeColor="text1"/>
          <w:lang w:val="en-US" w:eastAsia="zh-CN"/>
          <w14:textFill>
            <w14:solidFill>
              <w14:schemeClr w14:val="tx1"/>
            </w14:solidFill>
          </w14:textFill>
        </w:rPr>
        <w:t>试点</w:t>
      </w:r>
      <w:r>
        <w:rPr>
          <w:rFonts w:hint="eastAsia"/>
          <w:color w:val="000000" w:themeColor="text1"/>
          <w14:textFill>
            <w14:solidFill>
              <w14:schemeClr w14:val="tx1"/>
            </w14:solidFill>
          </w14:textFill>
        </w:rPr>
        <w:t>（Innov）、2011年开始设立</w:t>
      </w:r>
      <w:r>
        <w:rPr>
          <w:rFonts w:hint="eastAsia" w:ascii="Times New Roman" w:hAnsi="Times New Roman" w:eastAsia="宋体" w:cs="Times New Roman"/>
          <w:i w:val="0"/>
          <w:iCs w:val="0"/>
          <w:caps w:val="0"/>
          <w:color w:val="000000" w:themeColor="text1"/>
          <w:spacing w:val="0"/>
          <w:sz w:val="21"/>
          <w:szCs w:val="22"/>
          <w:shd w:val="clear"/>
          <w14:textFill>
            <w14:solidFill>
              <w14:schemeClr w14:val="tx1"/>
            </w14:solidFill>
          </w14:textFill>
        </w:rPr>
        <w:t>促进科技和金融结合试点</w:t>
      </w:r>
      <w:r>
        <w:rPr>
          <w:rFonts w:hint="eastAsia"/>
          <w:color w:val="000000" w:themeColor="text1"/>
          <w14:textFill>
            <w14:solidFill>
              <w14:schemeClr w14:val="tx1"/>
            </w14:solidFill>
          </w14:textFill>
        </w:rPr>
        <w:t>（Jrkj）、2013年起推行的</w:t>
      </w:r>
      <w:r>
        <w:rPr>
          <w:rFonts w:hint="eastAsia" w:ascii="Times New Roman" w:hAnsi="Times New Roman"/>
          <w:color w:val="000000" w:themeColor="text1"/>
          <w14:textFill>
            <w14:solidFill>
              <w14:schemeClr w14:val="tx1"/>
            </w14:solidFill>
          </w14:textFill>
        </w:rPr>
        <w:t>智慧城市</w:t>
      </w:r>
      <w:r>
        <w:rPr>
          <w:rFonts w:hint="eastAsia" w:ascii="Times New Roman" w:hAnsi="Times New Roman" w:eastAsia="宋体" w:cs="Times New Roman"/>
          <w:i w:val="0"/>
          <w:iCs w:val="0"/>
          <w:caps w:val="0"/>
          <w:color w:val="000000" w:themeColor="text1"/>
          <w:spacing w:val="0"/>
          <w:sz w:val="21"/>
          <w:szCs w:val="22"/>
          <w:shd w:val="clear"/>
          <w14:textFill>
            <w14:solidFill>
              <w14:schemeClr w14:val="tx1"/>
            </w14:solidFill>
          </w14:textFill>
        </w:rPr>
        <w:t>试点</w:t>
      </w:r>
      <w:r>
        <w:rPr>
          <w:rFonts w:hint="eastAsia"/>
          <w:color w:val="000000" w:themeColor="text1"/>
          <w14:textFill>
            <w14:solidFill>
              <w14:schemeClr w14:val="tx1"/>
            </w14:solidFill>
          </w14:textFill>
        </w:rPr>
        <w:t>（Wisd）以及2014年起设立的</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宽带中国</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示范</w:t>
      </w:r>
      <w:r>
        <w:rPr>
          <w:rFonts w:hint="eastAsia" w:ascii="Times New Roman" w:hAnsi="Times New Roman"/>
          <w:color w:val="000000" w:themeColor="text1"/>
          <w14:textFill>
            <w14:solidFill>
              <w14:schemeClr w14:val="tx1"/>
            </w14:solidFill>
          </w14:textFill>
        </w:rPr>
        <w:t>城市</w:t>
      </w:r>
      <w:r>
        <w:rPr>
          <w:rFonts w:hint="eastAsia"/>
          <w:color w:val="000000" w:themeColor="text1"/>
          <w14:textFill>
            <w14:solidFill>
              <w14:schemeClr w14:val="tx1"/>
            </w14:solidFill>
          </w14:textFill>
        </w:rPr>
        <w:t>Kdzg）的虚拟变量纳入回归模型，以控制相关政策对大数据试验区政策的影响。由表</w:t>
      </w:r>
      <w:r>
        <w:rPr>
          <w:rFonts w:hint="eastAsia"/>
          <w:color w:val="000000" w:themeColor="text1"/>
          <w:lang w:val="en-US" w:eastAsia="zh-CN"/>
          <w14:textFill>
            <w14:solidFill>
              <w14:schemeClr w14:val="tx1"/>
            </w14:solidFill>
          </w14:textFill>
        </w:rPr>
        <w:t>A2</w:t>
      </w:r>
      <w:r>
        <w:rPr>
          <w:rFonts w:hint="eastAsia"/>
          <w:color w:val="000000" w:themeColor="text1"/>
          <w14:textFill>
            <w14:solidFill>
              <w14:schemeClr w14:val="tx1"/>
            </w14:solidFill>
          </w14:textFill>
        </w:rPr>
        <w:t>第（4）</w:t>
      </w:r>
      <w:r>
        <w:rPr>
          <w:rFonts w:hint="eastAsia" w:ascii="宋体" w:hAnsi="宋体"/>
          <w:color w:val="000000" w:themeColor="text1"/>
          <w14:textFill>
            <w14:solidFill>
              <w14:schemeClr w14:val="tx1"/>
            </w14:solidFill>
          </w14:textFill>
        </w:rPr>
        <w:t>列至第（</w:t>
      </w:r>
      <w:r>
        <w:rPr>
          <w:rFonts w:hint="eastAsia"/>
          <w:color w:val="000000" w:themeColor="text1"/>
          <w:lang w:val="en-US" w:eastAsia="zh-CN"/>
          <w14:textFill>
            <w14:solidFill>
              <w14:schemeClr w14:val="tx1"/>
            </w14:solidFill>
          </w14:textFill>
        </w:rPr>
        <w:t>8</w:t>
      </w:r>
      <w:r>
        <w:rPr>
          <w:rFonts w:hint="eastAsia" w:ascii="宋体" w:hAnsi="宋体"/>
          <w:color w:val="000000" w:themeColor="text1"/>
          <w14:textFill>
            <w14:solidFill>
              <w14:schemeClr w14:val="tx1"/>
            </w14:solidFill>
          </w14:textFill>
        </w:rPr>
        <w:t>）列的可知，</w:t>
      </w:r>
      <w:r>
        <w:rPr>
          <w:rFonts w:hint="eastAsia" w:ascii="宋体" w:hAnsi="宋体"/>
          <w:color w:val="000000" w:themeColor="text1"/>
          <w:lang w:val="en-US" w:eastAsia="zh-CN"/>
          <w14:textFill>
            <w14:solidFill>
              <w14:schemeClr w14:val="tx1"/>
            </w14:solidFill>
          </w14:textFill>
        </w:rPr>
        <w:t>在排除其他</w:t>
      </w:r>
      <w:r>
        <w:rPr>
          <w:rFonts w:hint="eastAsia" w:ascii="宋体" w:hAnsi="宋体"/>
          <w:color w:val="000000" w:themeColor="text1"/>
          <w14:textFill>
            <w14:solidFill>
              <w14:schemeClr w14:val="tx1"/>
            </w14:solidFill>
          </w14:textFill>
        </w:rPr>
        <w:t>政策</w:t>
      </w:r>
      <w:r>
        <w:rPr>
          <w:rFonts w:hint="eastAsia" w:ascii="宋体" w:hAnsi="宋体"/>
          <w:color w:val="000000" w:themeColor="text1"/>
          <w:lang w:val="en-US" w:eastAsia="zh-CN"/>
          <w14:textFill>
            <w14:solidFill>
              <w14:schemeClr w14:val="tx1"/>
            </w14:solidFill>
          </w14:textFill>
        </w:rPr>
        <w:t>影响后</w:t>
      </w:r>
      <w:r>
        <w:rPr>
          <w:rFonts w:hint="eastAsia" w:ascii="宋体" w:hAnsi="宋体"/>
          <w:color w:val="000000" w:themeColor="text1"/>
          <w14:textFill>
            <w14:solidFill>
              <w14:schemeClr w14:val="tx1"/>
            </w14:solidFill>
          </w14:textFill>
        </w:rPr>
        <w:t>，研究结论依然稳健</w:t>
      </w:r>
      <w:r>
        <w:rPr>
          <w:rFonts w:hint="eastAsia"/>
          <w:color w:val="000000" w:themeColor="text1"/>
          <w14:textFill>
            <w14:solidFill>
              <w14:schemeClr w14:val="tx1"/>
            </w14:solidFill>
          </w14:textFill>
        </w:rPr>
        <w:t>。</w:t>
      </w:r>
    </w:p>
    <w:p w14:paraId="53CC5034">
      <w:pPr>
        <w:spacing w:line="360" w:lineRule="auto"/>
        <w:ind w:firstLine="0" w:firstLineChars="0"/>
        <w:outlineLvl w:val="1"/>
        <w:rPr>
          <w:rFonts w:eastAsia="黑体"/>
          <w:b/>
          <w:bCs/>
          <w:szCs w:val="28"/>
        </w:rPr>
      </w:pPr>
      <w:r>
        <w:rPr>
          <w:rFonts w:hint="eastAsia" w:eastAsia="黑体"/>
          <w:b/>
          <w:bCs/>
          <w:szCs w:val="28"/>
        </w:rPr>
        <w:t>五、重设机器学习模型</w:t>
      </w:r>
    </w:p>
    <w:p w14:paraId="602DCB6E">
      <w:pPr>
        <w:wordWrap w:val="0"/>
        <w:topLinePunct/>
        <w:ind w:left="0" w:leftChars="0" w:firstLine="444" w:firstLineChars="200"/>
      </w:pPr>
      <w:r>
        <w:rPr>
          <w:rFonts w:hint="eastAsia"/>
        </w:rPr>
        <w:t>为缓解机器学习模型设定可能引致的结果偏误，本文借鉴</w:t>
      </w:r>
      <w:r>
        <w:t>张涛</w:t>
      </w:r>
      <w:r>
        <w:rPr>
          <w:rFonts w:hint="eastAsia"/>
        </w:rPr>
        <w:t>和李均超（2023）</w:t>
      </w:r>
      <w:r>
        <w:t>的</w:t>
      </w:r>
      <w:r>
        <w:rPr>
          <w:rFonts w:hint="eastAsia"/>
        </w:rPr>
        <w:t>思路，将</w:t>
      </w:r>
      <w:r>
        <w:t>双重机器学习模型的样本分割比例</w:t>
      </w:r>
      <w:r>
        <w:rPr>
          <w:rFonts w:hint="eastAsia"/>
        </w:rPr>
        <w:t>分别</w:t>
      </w:r>
      <w:r>
        <w:t>改为1</w:t>
      </w:r>
      <w:r>
        <w:rPr>
          <w:rFonts w:hint="eastAsia"/>
        </w:rPr>
        <w:t>:</w:t>
      </w:r>
      <w:r>
        <w:t>2和1</w:t>
      </w:r>
      <w:r>
        <w:rPr>
          <w:rFonts w:hint="eastAsia"/>
        </w:rPr>
        <w:t>:</w:t>
      </w:r>
      <w:r>
        <w:t>7</w:t>
      </w:r>
      <w:r>
        <w:rPr>
          <w:rFonts w:hint="eastAsia"/>
        </w:rPr>
        <w:t>。然后，将先前用作预测的随机森林算法更换为套索回归、梯度提升以及支持向量机，探究预测算法对本文结论的影响；最后，将部分线性双重机器学习模型调整为交互式双重机器学习模型，探究模型设定对本文结论的影响。回归结果如表</w:t>
      </w:r>
      <w:r>
        <w:rPr>
          <w:rFonts w:hint="eastAsia"/>
          <w:lang w:val="en-US" w:eastAsia="zh-CN"/>
        </w:rPr>
        <w:t>A3</w:t>
      </w:r>
      <w:r>
        <w:rPr>
          <w:rFonts w:hint="eastAsia"/>
        </w:rPr>
        <w:t>第（1）列至第（6）列所示。结果显示，无论采用何种模型设定，大数据试验区的系数均显著为正，与基准回归结果保持一致。</w:t>
      </w:r>
    </w:p>
    <w:p w14:paraId="57E2346B">
      <w:pPr>
        <w:spacing w:line="360" w:lineRule="auto"/>
        <w:ind w:firstLine="0" w:firstLineChars="0"/>
        <w:outlineLvl w:val="1"/>
        <w:rPr>
          <w:rFonts w:eastAsia="黑体"/>
          <w:b/>
          <w:bCs/>
          <w:szCs w:val="28"/>
        </w:rPr>
      </w:pPr>
      <w:r>
        <w:rPr>
          <w:rFonts w:hint="eastAsia" w:eastAsia="黑体"/>
          <w:b/>
          <w:bCs/>
          <w:szCs w:val="28"/>
        </w:rPr>
        <w:t>六、工具变量法</w:t>
      </w:r>
    </w:p>
    <w:p w14:paraId="1C01D792">
      <w:pPr>
        <w:wordWrap w:val="0"/>
        <w:topLinePunct/>
        <w:ind w:firstLine="446"/>
      </w:pPr>
      <w:r>
        <w:t>在</w:t>
      </w:r>
      <w:r>
        <w:rPr>
          <w:rFonts w:hint="eastAsia"/>
        </w:rPr>
        <w:t>科产融合</w:t>
      </w:r>
      <w:r>
        <w:t>水平较高的</w:t>
      </w:r>
      <w:r>
        <w:rPr>
          <w:rFonts w:hint="eastAsia"/>
        </w:rPr>
        <w:t>城市</w:t>
      </w:r>
      <w:r>
        <w:t>，</w:t>
      </w:r>
      <w:r>
        <w:rPr>
          <w:rFonts w:hint="eastAsia"/>
        </w:rPr>
        <w:t>大数据发展水平</w:t>
      </w:r>
      <w:r>
        <w:t>可能更高。因此，</w:t>
      </w:r>
      <w:r>
        <w:rPr>
          <w:rFonts w:hint="eastAsia"/>
        </w:rPr>
        <w:t>大数据发展</w:t>
      </w:r>
      <w:r>
        <w:t>可能存在由互为因果导致的内生性问题。</w:t>
      </w:r>
      <w:r>
        <w:rPr>
          <w:rFonts w:hint="eastAsia"/>
        </w:rPr>
        <w:t>为缓解上述可能的内生性问题，本文</w:t>
      </w:r>
      <w:r>
        <w:t>参考</w:t>
      </w:r>
      <w:r>
        <w:fldChar w:fldCharType="begin"/>
      </w:r>
      <w:r>
        <w:instrText xml:space="preserve"> HYPERLINK "https://kns.cnki.net/kcms2/author/detail?v=KlmjsyJjhUSEINSX8sH2uq5tLzZ-fOfxNleO16mHuw3di6QU4oj8OZ_9Ud3hieBx4qecOGqtmNk-cSHyDvSW1_kMAlIuKV3qjHIR9z5bh7RvI_-AEl1fOEokgaNYL5CQ&amp;uniplatform=NZKPT&amp;language=CHS" \t "https://kns.cnki.net/kns8s/defaultresult/knet" </w:instrText>
      </w:r>
      <w:r>
        <w:fldChar w:fldCharType="separate"/>
      </w:r>
      <w:r>
        <w:rPr>
          <w:rFonts w:hint="eastAsia"/>
        </w:rPr>
        <w:t>范源源</w:t>
      </w:r>
      <w:r>
        <w:rPr>
          <w:rFonts w:hint="eastAsia"/>
        </w:rPr>
        <w:fldChar w:fldCharType="end"/>
      </w:r>
      <w:r>
        <w:rPr>
          <w:rFonts w:hint="eastAsia"/>
        </w:rPr>
        <w:t>和</w:t>
      </w:r>
      <w:r>
        <w:fldChar w:fldCharType="begin"/>
      </w:r>
      <w:r>
        <w:instrText xml:space="preserve"> HYPERLINK "https://kns.cnki.net/kcms2/author/detail?v=KlmjsyJjhUSEINSX8sH2uq5tLzZ-fOfx-84yLtIQEhDnoUmfCLodHzOiI5v0xtqFJ_d2dpu-G-QSTWMudlRm4e2RnEqtsV2mxierZd_LbyK1naqQD7BQyXTBf7VpYTM_&amp;uniplatform=NZKPT&amp;language=CHS" \t "https://kns.cnki.net/kns8s/defaultresult/knet" </w:instrText>
      </w:r>
      <w:r>
        <w:fldChar w:fldCharType="separate"/>
      </w:r>
      <w:r>
        <w:rPr>
          <w:rFonts w:hint="eastAsia"/>
        </w:rPr>
        <w:t>李建军</w:t>
      </w:r>
      <w:r>
        <w:rPr>
          <w:rFonts w:hint="eastAsia"/>
        </w:rPr>
        <w:fldChar w:fldCharType="end"/>
      </w:r>
      <w:r>
        <w:rPr>
          <w:rFonts w:hint="eastAsia"/>
        </w:rPr>
        <w:t>（2025）</w:t>
      </w:r>
      <w:r>
        <w:t>的做法</w:t>
      </w:r>
      <w:r>
        <w:rPr>
          <w:rFonts w:hint="eastAsia"/>
        </w:rPr>
        <w:t>，采用地形起伏度和1984年每百人固定电话数量作为大数据试验区的工具变量。一方面，大数据</w:t>
      </w:r>
      <w:r>
        <w:t>试验区</w:t>
      </w:r>
      <w:r>
        <w:rPr>
          <w:rFonts w:hint="eastAsia"/>
        </w:rPr>
        <w:t>设立</w:t>
      </w:r>
      <w:r>
        <w:t>需</w:t>
      </w:r>
      <w:r>
        <w:rPr>
          <w:rFonts w:hint="eastAsia"/>
        </w:rPr>
        <w:t>具备良好的</w:t>
      </w:r>
      <w:r>
        <w:t>数字设施基础，</w:t>
      </w:r>
      <w:r>
        <w:rPr>
          <w:rFonts w:hint="eastAsia"/>
        </w:rPr>
        <w:t>而</w:t>
      </w:r>
      <w:r>
        <w:t>历史上的电信基础设施可能会从技术和行为习惯上影响试验区选址</w:t>
      </w:r>
      <w:r>
        <w:rPr>
          <w:rFonts w:hint="eastAsia"/>
        </w:rPr>
        <w:t>；同时，地形起伏度与数字基础设施的安装维护成本以及网络信号质量等紧密相关，进而可能影响试验区选址，因此以上工具变量满足相关性要求。另一方面，地形起伏度属于地理特征变量，1984年每百人固定电话数量属于历史数据，二者直接影响科产融合的可能性较微弱，因此地形起伏度和固定电话数量作为大数据试验区的工具变量也基本满足排他性要求。需要说明的是，由于本文样本为面板数据，而地形起伏度和每百人固定电话数量均为截面数据，不能直接匹配，借鉴</w:t>
      </w:r>
      <w:r>
        <w:t>Nunn</w:t>
      </w:r>
      <w:r>
        <w:rPr>
          <w:rFonts w:hint="eastAsia"/>
        </w:rPr>
        <w:t>和</w:t>
      </w:r>
      <w:r>
        <w:t>Qian</w:t>
      </w:r>
      <w:r>
        <w:rPr>
          <w:rFonts w:hint="eastAsia"/>
        </w:rPr>
        <w:t>（</w:t>
      </w:r>
      <w:r>
        <w:t>2014</w:t>
      </w:r>
      <w:r>
        <w:rPr>
          <w:rFonts w:hint="eastAsia"/>
        </w:rPr>
        <w:t>）的处理方法，通过引入随时间变化的变量来构造面板工具变量。这里借鉴赵涛等（2020）的思想，以上一年全国网民数量与地形起伏度和1984年每百人固定电话数量构造交互项，分别以IV1和IV2表示。进一步地，</w:t>
      </w:r>
      <w:r>
        <w:t>参考张涛</w:t>
      </w:r>
      <w:r>
        <w:rPr>
          <w:rFonts w:hint="eastAsia"/>
        </w:rPr>
        <w:t>和李均超（2023）</w:t>
      </w:r>
      <w:r>
        <w:t>的</w:t>
      </w:r>
      <w:r>
        <w:rPr>
          <w:rFonts w:hint="eastAsia"/>
        </w:rPr>
        <w:t>研究</w:t>
      </w:r>
      <w:r>
        <w:t>，</w:t>
      </w:r>
      <w:r>
        <w:rPr>
          <w:rFonts w:hint="eastAsia"/>
        </w:rPr>
        <w:t>本文</w:t>
      </w:r>
      <w:r>
        <w:t>构建双重机器学习的部分线性工具变量模型进行分析</w:t>
      </w:r>
      <w:r>
        <w:rPr>
          <w:rFonts w:hint="eastAsia"/>
        </w:rPr>
        <w:t>，回归结果如表</w:t>
      </w:r>
      <w:r>
        <w:rPr>
          <w:rFonts w:hint="eastAsia"/>
          <w:lang w:val="en-US" w:eastAsia="zh-CN"/>
        </w:rPr>
        <w:t>A3</w:t>
      </w:r>
      <w:r>
        <w:rPr>
          <w:rFonts w:hint="eastAsia"/>
        </w:rPr>
        <w:t>第（7）列和第（8）列所示。结果显示，无论采用何种工具变量，大数据试验区设立均能显著推动科产融合，说明基准结论较为稳健。</w:t>
      </w:r>
    </w:p>
    <w:p w14:paraId="0DB7C8B2">
      <w:pPr>
        <w:pStyle w:val="6"/>
        <w:ind w:firstLine="0" w:firstLineChars="0"/>
        <w:jc w:val="center"/>
        <w:rPr>
          <w:rFonts w:hint="eastAsia" w:ascii="黑体" w:hAnsi="黑体" w:eastAsia="黑体"/>
          <w:sz w:val="21"/>
          <w:szCs w:val="21"/>
        </w:rPr>
      </w:pPr>
      <w:r>
        <w:rPr>
          <w:rFonts w:hint="eastAsia" w:ascii="黑体" w:hAnsi="黑体" w:eastAsia="黑体"/>
          <w:sz w:val="21"/>
          <w:szCs w:val="21"/>
        </w:rPr>
        <w:t>表</w:t>
      </w:r>
      <w:r>
        <w:rPr>
          <w:rFonts w:eastAsia="黑体" w:cs="Times New Roman"/>
          <w:sz w:val="21"/>
          <w:szCs w:val="21"/>
        </w:rPr>
        <w:t>A</w:t>
      </w:r>
      <w:r>
        <w:rPr>
          <w:rFonts w:hint="eastAsia" w:eastAsia="黑体" w:cs="Times New Roman"/>
          <w:sz w:val="21"/>
          <w:szCs w:val="21"/>
          <w:lang w:val="en-US" w:eastAsia="zh-CN"/>
        </w:rPr>
        <w:t>2</w:t>
      </w:r>
      <w:r>
        <w:rPr>
          <w:rFonts w:hint="eastAsia" w:ascii="黑体" w:hAnsi="黑体" w:eastAsia="黑体"/>
          <w:sz w:val="21"/>
          <w:szCs w:val="21"/>
        </w:rPr>
        <w:t xml:space="preserve"> </w:t>
      </w:r>
      <w:r>
        <w:rPr>
          <w:rFonts w:ascii="黑体" w:hAnsi="黑体" w:eastAsia="黑体"/>
          <w:sz w:val="21"/>
          <w:szCs w:val="21"/>
        </w:rPr>
        <w:t>稳健性检验回归结果</w:t>
      </w:r>
    </w:p>
    <w:tbl>
      <w:tblPr>
        <w:tblStyle w:val="20"/>
        <w:tblW w:w="9565"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73"/>
        <w:gridCol w:w="1077"/>
        <w:gridCol w:w="1049"/>
        <w:gridCol w:w="991"/>
        <w:gridCol w:w="1010"/>
        <w:gridCol w:w="940"/>
        <w:gridCol w:w="920"/>
        <w:gridCol w:w="970"/>
        <w:gridCol w:w="935"/>
      </w:tblGrid>
      <w:tr w14:paraId="13BE50DD">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vMerge w:val="restart"/>
            <w:tcBorders>
              <w:bottom w:val="nil"/>
              <w:right w:val="single" w:color="auto" w:sz="2" w:space="0"/>
            </w:tcBorders>
            <w:vAlign w:val="center"/>
          </w:tcPr>
          <w:p w14:paraId="5E9B012C">
            <w:pPr>
              <w:topLinePunct/>
              <w:ind w:firstLine="0" w:firstLineChars="0"/>
              <w:jc w:val="center"/>
              <w:rPr>
                <w:sz w:val="18"/>
                <w:szCs w:val="18"/>
              </w:rPr>
            </w:pPr>
            <w:r>
              <w:rPr>
                <w:sz w:val="18"/>
                <w:szCs w:val="18"/>
              </w:rPr>
              <w:t>变量</w:t>
            </w:r>
          </w:p>
        </w:tc>
        <w:tc>
          <w:tcPr>
            <w:tcW w:w="1077" w:type="dxa"/>
            <w:tcBorders>
              <w:left w:val="single" w:color="auto" w:sz="2" w:space="0"/>
              <w:bottom w:val="single" w:color="auto" w:sz="2" w:space="0"/>
              <w:right w:val="single" w:color="auto" w:sz="2" w:space="0"/>
            </w:tcBorders>
            <w:vAlign w:val="center"/>
          </w:tcPr>
          <w:p w14:paraId="7B88CAC6">
            <w:pPr>
              <w:pStyle w:val="4"/>
              <w:keepNext/>
              <w:keepLines/>
              <w:wordWrap w:val="0"/>
              <w:topLinePunct/>
              <w:spacing w:before="0" w:line="240" w:lineRule="exact"/>
              <w:ind w:firstLineChars="0"/>
              <w:jc w:val="center"/>
              <w:rPr>
                <w:sz w:val="18"/>
                <w:szCs w:val="18"/>
              </w:rPr>
            </w:pPr>
            <w:r>
              <w:rPr>
                <w:sz w:val="18"/>
                <w:szCs w:val="18"/>
              </w:rPr>
              <w:t>加入前定</w:t>
            </w:r>
          </w:p>
          <w:p w14:paraId="49D80D4F">
            <w:pPr>
              <w:pStyle w:val="4"/>
              <w:keepNext/>
              <w:keepLines/>
              <w:wordWrap w:val="0"/>
              <w:topLinePunct/>
              <w:spacing w:before="0" w:line="240" w:lineRule="exact"/>
              <w:ind w:firstLineChars="0"/>
              <w:jc w:val="center"/>
              <w:rPr>
                <w:sz w:val="18"/>
                <w:szCs w:val="18"/>
              </w:rPr>
            </w:pPr>
            <w:r>
              <w:rPr>
                <w:sz w:val="18"/>
                <w:szCs w:val="18"/>
              </w:rPr>
              <w:t>变量</w:t>
            </w:r>
          </w:p>
        </w:tc>
        <w:tc>
          <w:tcPr>
            <w:tcW w:w="1049" w:type="dxa"/>
            <w:tcBorders>
              <w:left w:val="single" w:color="auto" w:sz="2" w:space="0"/>
              <w:bottom w:val="single" w:color="auto" w:sz="2" w:space="0"/>
              <w:right w:val="single" w:color="auto" w:sz="2" w:space="0"/>
            </w:tcBorders>
            <w:vAlign w:val="center"/>
          </w:tcPr>
          <w:p w14:paraId="00836173">
            <w:pPr>
              <w:wordWrap w:val="0"/>
              <w:topLinePunct/>
              <w:spacing w:line="240" w:lineRule="exact"/>
              <w:ind w:firstLine="0" w:firstLineChars="0"/>
              <w:jc w:val="center"/>
              <w:rPr>
                <w:rFonts w:hint="default" w:eastAsia="宋体"/>
                <w:sz w:val="18"/>
                <w:szCs w:val="18"/>
                <w:lang w:val="en-US" w:eastAsia="zh-CN"/>
              </w:rPr>
            </w:pPr>
            <w:r>
              <w:rPr>
                <w:rFonts w:hint="eastAsia"/>
                <w:sz w:val="18"/>
                <w:szCs w:val="18"/>
                <w:lang w:val="en-US" w:eastAsia="zh-CN"/>
              </w:rPr>
              <w:t>剔除特殊样本</w:t>
            </w:r>
          </w:p>
        </w:tc>
        <w:tc>
          <w:tcPr>
            <w:tcW w:w="991" w:type="dxa"/>
            <w:tcBorders>
              <w:left w:val="single" w:color="auto" w:sz="2" w:space="0"/>
              <w:bottom w:val="single" w:color="auto" w:sz="2" w:space="0"/>
              <w:right w:val="single" w:color="auto" w:sz="2" w:space="0"/>
            </w:tcBorders>
            <w:vAlign w:val="center"/>
          </w:tcPr>
          <w:p w14:paraId="4B3E32C6">
            <w:pPr>
              <w:wordWrap w:val="0"/>
              <w:topLinePunct/>
              <w:spacing w:line="240" w:lineRule="exact"/>
              <w:ind w:firstLine="0" w:firstLineChars="0"/>
              <w:jc w:val="center"/>
              <w:rPr>
                <w:sz w:val="18"/>
                <w:szCs w:val="18"/>
              </w:rPr>
            </w:pPr>
            <w:r>
              <w:rPr>
                <w:rFonts w:hint="eastAsia"/>
                <w:sz w:val="18"/>
                <w:szCs w:val="18"/>
              </w:rPr>
              <w:t>省份-时间</w:t>
            </w:r>
          </w:p>
        </w:tc>
        <w:tc>
          <w:tcPr>
            <w:tcW w:w="4775" w:type="dxa"/>
            <w:gridSpan w:val="5"/>
            <w:tcBorders>
              <w:left w:val="single" w:color="auto" w:sz="2" w:space="0"/>
              <w:bottom w:val="single" w:color="auto" w:sz="4" w:space="0"/>
              <w:tl2br w:val="nil"/>
              <w:tr2bl w:val="nil"/>
            </w:tcBorders>
            <w:vAlign w:val="center"/>
          </w:tcPr>
          <w:p w14:paraId="2C2EA009">
            <w:pPr>
              <w:wordWrap w:val="0"/>
              <w:topLinePunct/>
              <w:spacing w:line="240" w:lineRule="exact"/>
              <w:ind w:firstLine="0" w:firstLineChars="0"/>
              <w:jc w:val="center"/>
              <w:rPr>
                <w:rFonts w:hint="eastAsia" w:eastAsia="宋体"/>
                <w:sz w:val="18"/>
                <w:szCs w:val="18"/>
                <w:lang w:val="en-US" w:eastAsia="zh-CN"/>
              </w:rPr>
            </w:pPr>
            <w:r>
              <w:rPr>
                <w:rFonts w:hint="eastAsia"/>
                <w:sz w:val="18"/>
                <w:szCs w:val="18"/>
                <w:lang w:val="en-US" w:eastAsia="zh-CN"/>
              </w:rPr>
              <w:t>排除其他</w:t>
            </w:r>
            <w:r>
              <w:rPr>
                <w:rFonts w:hint="eastAsia"/>
                <w:sz w:val="18"/>
                <w:szCs w:val="18"/>
              </w:rPr>
              <w:t>政策</w:t>
            </w:r>
            <w:r>
              <w:rPr>
                <w:rFonts w:hint="eastAsia"/>
                <w:sz w:val="18"/>
                <w:szCs w:val="18"/>
                <w:lang w:val="en-US" w:eastAsia="zh-CN"/>
              </w:rPr>
              <w:t>影响</w:t>
            </w:r>
          </w:p>
        </w:tc>
      </w:tr>
      <w:tr w14:paraId="595EE75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vMerge w:val="continue"/>
            <w:tcBorders>
              <w:top w:val="nil"/>
              <w:bottom w:val="nil"/>
              <w:right w:val="single" w:color="auto" w:sz="2" w:space="0"/>
            </w:tcBorders>
            <w:vAlign w:val="center"/>
          </w:tcPr>
          <w:p w14:paraId="0730EEBA">
            <w:pPr>
              <w:wordWrap w:val="0"/>
              <w:topLinePunct/>
              <w:ind w:firstLine="0" w:firstLineChars="0"/>
              <w:jc w:val="center"/>
              <w:rPr>
                <w:sz w:val="18"/>
                <w:szCs w:val="18"/>
              </w:rPr>
            </w:pPr>
          </w:p>
        </w:tc>
        <w:tc>
          <w:tcPr>
            <w:tcW w:w="1077" w:type="dxa"/>
            <w:tcBorders>
              <w:top w:val="single" w:color="auto" w:sz="2" w:space="0"/>
              <w:left w:val="single" w:color="auto" w:sz="2" w:space="0"/>
              <w:bottom w:val="single" w:color="auto" w:sz="4" w:space="0"/>
              <w:right w:val="single" w:color="auto" w:sz="2" w:space="0"/>
            </w:tcBorders>
          </w:tcPr>
          <w:p w14:paraId="7B431123">
            <w:pPr>
              <w:wordWrap w:val="0"/>
              <w:topLinePunct/>
              <w:ind w:firstLine="0" w:firstLineChars="0"/>
              <w:jc w:val="center"/>
              <w:rPr>
                <w:spacing w:val="-20"/>
                <w:sz w:val="18"/>
                <w:szCs w:val="18"/>
              </w:rPr>
            </w:pPr>
            <w:r>
              <w:rPr>
                <w:spacing w:val="-20"/>
                <w:sz w:val="18"/>
              </w:rPr>
              <w:t>（1）</w:t>
            </w:r>
          </w:p>
        </w:tc>
        <w:tc>
          <w:tcPr>
            <w:tcW w:w="1049" w:type="dxa"/>
            <w:tcBorders>
              <w:top w:val="single" w:color="auto" w:sz="2" w:space="0"/>
              <w:left w:val="single" w:color="auto" w:sz="2" w:space="0"/>
              <w:bottom w:val="single" w:color="auto" w:sz="4" w:space="0"/>
              <w:right w:val="single" w:color="auto" w:sz="2" w:space="0"/>
            </w:tcBorders>
          </w:tcPr>
          <w:p w14:paraId="56F55510">
            <w:pPr>
              <w:wordWrap w:val="0"/>
              <w:topLinePunct/>
              <w:ind w:firstLine="0" w:firstLineChars="0"/>
              <w:jc w:val="center"/>
              <w:rPr>
                <w:spacing w:val="-20"/>
                <w:sz w:val="18"/>
                <w:szCs w:val="18"/>
              </w:rPr>
            </w:pPr>
            <w:r>
              <w:rPr>
                <w:spacing w:val="-20"/>
                <w:sz w:val="18"/>
              </w:rPr>
              <w:t>（2）</w:t>
            </w:r>
          </w:p>
        </w:tc>
        <w:tc>
          <w:tcPr>
            <w:tcW w:w="991" w:type="dxa"/>
            <w:tcBorders>
              <w:top w:val="single" w:color="auto" w:sz="2" w:space="0"/>
              <w:left w:val="single" w:color="auto" w:sz="2" w:space="0"/>
              <w:bottom w:val="single" w:color="auto" w:sz="4" w:space="0"/>
              <w:right w:val="single" w:color="auto" w:sz="2" w:space="0"/>
            </w:tcBorders>
          </w:tcPr>
          <w:p w14:paraId="1CCD2FA4">
            <w:pPr>
              <w:wordWrap w:val="0"/>
              <w:topLinePunct/>
              <w:ind w:firstLine="0" w:firstLineChars="0"/>
              <w:jc w:val="center"/>
              <w:rPr>
                <w:spacing w:val="-20"/>
                <w:sz w:val="18"/>
                <w:szCs w:val="18"/>
              </w:rPr>
            </w:pPr>
            <w:r>
              <w:rPr>
                <w:spacing w:val="-20"/>
                <w:sz w:val="18"/>
              </w:rPr>
              <w:t>（3）</w:t>
            </w:r>
          </w:p>
        </w:tc>
        <w:tc>
          <w:tcPr>
            <w:tcW w:w="1010" w:type="dxa"/>
            <w:tcBorders>
              <w:top w:val="single" w:color="auto" w:sz="4" w:space="0"/>
              <w:left w:val="single" w:color="auto" w:sz="2" w:space="0"/>
              <w:bottom w:val="single" w:color="auto" w:sz="4" w:space="0"/>
              <w:right w:val="single" w:color="auto" w:sz="2" w:space="0"/>
            </w:tcBorders>
          </w:tcPr>
          <w:p w14:paraId="06A95E7A">
            <w:pPr>
              <w:wordWrap w:val="0"/>
              <w:topLinePunct/>
              <w:ind w:firstLine="0" w:firstLineChars="0"/>
              <w:jc w:val="center"/>
              <w:rPr>
                <w:spacing w:val="-20"/>
                <w:sz w:val="18"/>
                <w:szCs w:val="18"/>
              </w:rPr>
            </w:pPr>
            <w:r>
              <w:rPr>
                <w:spacing w:val="-20"/>
                <w:sz w:val="18"/>
              </w:rPr>
              <w:t>（</w:t>
            </w:r>
            <w:r>
              <w:rPr>
                <w:rFonts w:hint="eastAsia"/>
                <w:spacing w:val="-20"/>
                <w:sz w:val="18"/>
              </w:rPr>
              <w:t>4</w:t>
            </w:r>
            <w:r>
              <w:rPr>
                <w:spacing w:val="-20"/>
                <w:sz w:val="18"/>
              </w:rPr>
              <w:t>）</w:t>
            </w:r>
          </w:p>
        </w:tc>
        <w:tc>
          <w:tcPr>
            <w:tcW w:w="940" w:type="dxa"/>
            <w:tcBorders>
              <w:top w:val="single" w:color="auto" w:sz="4" w:space="0"/>
              <w:left w:val="single" w:color="auto" w:sz="2" w:space="0"/>
              <w:bottom w:val="single" w:color="auto" w:sz="4" w:space="0"/>
              <w:right w:val="single" w:color="auto" w:sz="2" w:space="0"/>
            </w:tcBorders>
          </w:tcPr>
          <w:p w14:paraId="2A9A3521">
            <w:pPr>
              <w:wordWrap w:val="0"/>
              <w:topLinePunct/>
              <w:ind w:firstLine="0" w:firstLineChars="0"/>
              <w:jc w:val="center"/>
              <w:rPr>
                <w:spacing w:val="-20"/>
                <w:sz w:val="18"/>
                <w:szCs w:val="18"/>
              </w:rPr>
            </w:pPr>
            <w:r>
              <w:rPr>
                <w:spacing w:val="-20"/>
                <w:sz w:val="18"/>
              </w:rPr>
              <w:t>（</w:t>
            </w:r>
            <w:r>
              <w:rPr>
                <w:rFonts w:hint="eastAsia"/>
                <w:spacing w:val="-20"/>
                <w:sz w:val="18"/>
              </w:rPr>
              <w:t>5</w:t>
            </w:r>
            <w:r>
              <w:rPr>
                <w:spacing w:val="-20"/>
                <w:sz w:val="18"/>
              </w:rPr>
              <w:t>）</w:t>
            </w:r>
          </w:p>
        </w:tc>
        <w:tc>
          <w:tcPr>
            <w:tcW w:w="920" w:type="dxa"/>
            <w:tcBorders>
              <w:top w:val="single" w:color="auto" w:sz="4" w:space="0"/>
              <w:left w:val="single" w:color="auto" w:sz="2" w:space="0"/>
              <w:bottom w:val="single" w:color="auto" w:sz="4" w:space="0"/>
              <w:right w:val="single" w:color="auto" w:sz="2" w:space="0"/>
            </w:tcBorders>
          </w:tcPr>
          <w:p w14:paraId="78F4FF69">
            <w:pPr>
              <w:wordWrap w:val="0"/>
              <w:topLinePunct/>
              <w:ind w:firstLine="0" w:firstLineChars="0"/>
              <w:jc w:val="center"/>
              <w:rPr>
                <w:spacing w:val="-20"/>
                <w:sz w:val="18"/>
                <w:szCs w:val="18"/>
              </w:rPr>
            </w:pPr>
            <w:r>
              <w:rPr>
                <w:spacing w:val="-20"/>
                <w:sz w:val="18"/>
              </w:rPr>
              <w:t>（</w:t>
            </w:r>
            <w:r>
              <w:rPr>
                <w:rFonts w:hint="eastAsia"/>
                <w:spacing w:val="-20"/>
                <w:sz w:val="18"/>
              </w:rPr>
              <w:t>6</w:t>
            </w:r>
            <w:r>
              <w:rPr>
                <w:spacing w:val="-20"/>
                <w:sz w:val="18"/>
              </w:rPr>
              <w:t>）</w:t>
            </w:r>
          </w:p>
        </w:tc>
        <w:tc>
          <w:tcPr>
            <w:tcW w:w="970" w:type="dxa"/>
            <w:tcBorders>
              <w:top w:val="single" w:color="auto" w:sz="4" w:space="0"/>
              <w:left w:val="single" w:color="auto" w:sz="2" w:space="0"/>
              <w:bottom w:val="single" w:color="auto" w:sz="4" w:space="0"/>
              <w:right w:val="single" w:color="auto" w:sz="2" w:space="0"/>
            </w:tcBorders>
          </w:tcPr>
          <w:p w14:paraId="69F769D6">
            <w:pPr>
              <w:wordWrap w:val="0"/>
              <w:topLinePunct/>
              <w:ind w:firstLine="0" w:firstLineChars="0"/>
              <w:jc w:val="center"/>
              <w:rPr>
                <w:spacing w:val="-20"/>
                <w:sz w:val="18"/>
                <w:szCs w:val="18"/>
              </w:rPr>
            </w:pPr>
            <w:r>
              <w:rPr>
                <w:spacing w:val="-20"/>
                <w:sz w:val="18"/>
              </w:rPr>
              <w:t>（</w:t>
            </w:r>
            <w:r>
              <w:rPr>
                <w:rFonts w:hint="eastAsia"/>
                <w:spacing w:val="-20"/>
                <w:sz w:val="18"/>
              </w:rPr>
              <w:t>7</w:t>
            </w:r>
            <w:r>
              <w:rPr>
                <w:spacing w:val="-20"/>
                <w:sz w:val="18"/>
              </w:rPr>
              <w:t>）</w:t>
            </w:r>
          </w:p>
        </w:tc>
        <w:tc>
          <w:tcPr>
            <w:tcW w:w="935" w:type="dxa"/>
            <w:tcBorders>
              <w:top w:val="single" w:color="auto" w:sz="4" w:space="0"/>
              <w:left w:val="single" w:color="auto" w:sz="2" w:space="0"/>
              <w:bottom w:val="single" w:color="auto" w:sz="4" w:space="0"/>
            </w:tcBorders>
          </w:tcPr>
          <w:p w14:paraId="53A418F9">
            <w:pPr>
              <w:wordWrap w:val="0"/>
              <w:topLinePunct/>
              <w:ind w:firstLine="0" w:firstLineChars="0"/>
              <w:jc w:val="center"/>
              <w:rPr>
                <w:spacing w:val="-20"/>
                <w:sz w:val="18"/>
                <w:szCs w:val="18"/>
              </w:rPr>
            </w:pPr>
            <w:r>
              <w:rPr>
                <w:spacing w:val="-20"/>
                <w:sz w:val="18"/>
              </w:rPr>
              <w:t>（</w:t>
            </w:r>
            <w:r>
              <w:rPr>
                <w:rFonts w:hint="eastAsia"/>
                <w:spacing w:val="-20"/>
                <w:sz w:val="18"/>
              </w:rPr>
              <w:t>8</w:t>
            </w:r>
            <w:r>
              <w:rPr>
                <w:spacing w:val="-20"/>
                <w:sz w:val="18"/>
              </w:rPr>
              <w:t>）</w:t>
            </w:r>
          </w:p>
        </w:tc>
      </w:tr>
      <w:tr w14:paraId="78EFD23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single" w:color="auto" w:sz="4" w:space="0"/>
              <w:right w:val="single" w:color="auto" w:sz="2" w:space="0"/>
            </w:tcBorders>
            <w:vAlign w:val="center"/>
          </w:tcPr>
          <w:p w14:paraId="28DCE69E">
            <w:pPr>
              <w:wordWrap w:val="0"/>
              <w:topLinePunct/>
              <w:ind w:firstLine="0" w:firstLineChars="0"/>
              <w:jc w:val="left"/>
              <w:rPr>
                <w:sz w:val="18"/>
                <w:szCs w:val="18"/>
              </w:rPr>
            </w:pPr>
            <w:r>
              <w:rPr>
                <w:sz w:val="18"/>
                <w:szCs w:val="18"/>
              </w:rPr>
              <w:t>Bigdata</w:t>
            </w:r>
          </w:p>
        </w:tc>
        <w:tc>
          <w:tcPr>
            <w:tcW w:w="1077" w:type="dxa"/>
            <w:tcBorders>
              <w:top w:val="single" w:color="auto" w:sz="4" w:space="0"/>
              <w:left w:val="single" w:color="auto" w:sz="2" w:space="0"/>
              <w:bottom w:val="single" w:color="auto" w:sz="4" w:space="0"/>
              <w:right w:val="single" w:color="auto" w:sz="2" w:space="0"/>
            </w:tcBorders>
            <w:vAlign w:val="center"/>
          </w:tcPr>
          <w:p w14:paraId="3D880D38">
            <w:pPr>
              <w:wordWrap w:val="0"/>
              <w:topLinePunct/>
              <w:spacing w:line="240" w:lineRule="exact"/>
              <w:ind w:firstLine="0" w:firstLineChars="0"/>
              <w:jc w:val="center"/>
              <w:rPr>
                <w:spacing w:val="-20"/>
                <w:sz w:val="18"/>
                <w:szCs w:val="18"/>
              </w:rPr>
            </w:pPr>
            <w:r>
              <w:rPr>
                <w:rFonts w:hint="eastAsia"/>
                <w:spacing w:val="-20"/>
                <w:sz w:val="18"/>
                <w:szCs w:val="18"/>
              </w:rPr>
              <w:t>0</w:t>
            </w:r>
            <w:r>
              <w:rPr>
                <w:spacing w:val="-20"/>
                <w:sz w:val="18"/>
                <w:szCs w:val="18"/>
              </w:rPr>
              <w:t>.0</w:t>
            </w:r>
            <w:r>
              <w:rPr>
                <w:rFonts w:hint="eastAsia"/>
                <w:spacing w:val="-20"/>
                <w:sz w:val="18"/>
                <w:szCs w:val="18"/>
              </w:rPr>
              <w:t>126***</w:t>
            </w:r>
          </w:p>
          <w:p w14:paraId="277004AC">
            <w:pPr>
              <w:wordWrap w:val="0"/>
              <w:topLinePunct/>
              <w:spacing w:line="240" w:lineRule="exact"/>
              <w:ind w:firstLine="0" w:firstLineChars="0"/>
              <w:jc w:val="center"/>
              <w:rPr>
                <w:spacing w:val="-20"/>
                <w:sz w:val="18"/>
                <w:szCs w:val="18"/>
              </w:rPr>
            </w:pPr>
            <w:r>
              <w:rPr>
                <w:spacing w:val="-20"/>
                <w:sz w:val="18"/>
                <w:szCs w:val="18"/>
              </w:rPr>
              <w:t>(</w:t>
            </w:r>
            <w:r>
              <w:rPr>
                <w:rFonts w:hint="eastAsia"/>
                <w:spacing w:val="-20"/>
                <w:sz w:val="18"/>
                <w:szCs w:val="18"/>
              </w:rPr>
              <w:t>0.0021</w:t>
            </w:r>
            <w:r>
              <w:rPr>
                <w:spacing w:val="-20"/>
                <w:sz w:val="18"/>
                <w:szCs w:val="18"/>
              </w:rPr>
              <w:t>)</w:t>
            </w:r>
          </w:p>
        </w:tc>
        <w:tc>
          <w:tcPr>
            <w:tcW w:w="1049" w:type="dxa"/>
            <w:tcBorders>
              <w:top w:val="single" w:color="auto" w:sz="4" w:space="0"/>
              <w:left w:val="single" w:color="auto" w:sz="2" w:space="0"/>
              <w:bottom w:val="single" w:color="auto" w:sz="4" w:space="0"/>
              <w:right w:val="single" w:color="auto" w:sz="2" w:space="0"/>
            </w:tcBorders>
            <w:vAlign w:val="center"/>
          </w:tcPr>
          <w:p w14:paraId="0F700078">
            <w:pPr>
              <w:wordWrap w:val="0"/>
              <w:topLinePunct/>
              <w:spacing w:line="240" w:lineRule="atLeast"/>
              <w:ind w:firstLine="0" w:firstLineChars="0"/>
              <w:jc w:val="center"/>
              <w:rPr>
                <w:spacing w:val="-20"/>
                <w:sz w:val="18"/>
                <w:szCs w:val="18"/>
              </w:rPr>
            </w:pPr>
            <w:r>
              <w:rPr>
                <w:rFonts w:hint="eastAsia"/>
                <w:spacing w:val="-20"/>
                <w:sz w:val="18"/>
                <w:szCs w:val="18"/>
              </w:rPr>
              <w:t>0.0235***</w:t>
            </w:r>
          </w:p>
          <w:p w14:paraId="56CEC818">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0.0031</w:t>
            </w:r>
            <w:r>
              <w:rPr>
                <w:spacing w:val="-20"/>
                <w:sz w:val="18"/>
                <w:szCs w:val="18"/>
              </w:rPr>
              <w:t>)</w:t>
            </w:r>
          </w:p>
        </w:tc>
        <w:tc>
          <w:tcPr>
            <w:tcW w:w="991" w:type="dxa"/>
            <w:tcBorders>
              <w:top w:val="single" w:color="auto" w:sz="4" w:space="0"/>
              <w:left w:val="single" w:color="auto" w:sz="2" w:space="0"/>
              <w:bottom w:val="single" w:color="auto" w:sz="4" w:space="0"/>
              <w:right w:val="single" w:color="auto" w:sz="2" w:space="0"/>
            </w:tcBorders>
            <w:vAlign w:val="center"/>
          </w:tcPr>
          <w:p w14:paraId="55DF2C04">
            <w:pPr>
              <w:wordWrap w:val="0"/>
              <w:topLinePunct/>
              <w:spacing w:line="240" w:lineRule="atLeast"/>
              <w:ind w:firstLine="0" w:firstLineChars="0"/>
              <w:jc w:val="center"/>
              <w:rPr>
                <w:spacing w:val="-20"/>
                <w:sz w:val="18"/>
                <w:szCs w:val="18"/>
              </w:rPr>
            </w:pPr>
            <w:r>
              <w:rPr>
                <w:rFonts w:hint="eastAsia"/>
                <w:spacing w:val="-20"/>
                <w:sz w:val="18"/>
                <w:szCs w:val="18"/>
              </w:rPr>
              <w:t>0.0397***</w:t>
            </w:r>
          </w:p>
          <w:p w14:paraId="6DA8737C">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0.0070</w:t>
            </w:r>
            <w:r>
              <w:rPr>
                <w:spacing w:val="-20"/>
                <w:sz w:val="18"/>
                <w:szCs w:val="18"/>
              </w:rPr>
              <w:t>)</w:t>
            </w:r>
          </w:p>
        </w:tc>
        <w:tc>
          <w:tcPr>
            <w:tcW w:w="1010" w:type="dxa"/>
            <w:tcBorders>
              <w:top w:val="single" w:color="auto" w:sz="4" w:space="0"/>
              <w:left w:val="single" w:color="auto" w:sz="2" w:space="0"/>
              <w:bottom w:val="single" w:color="auto" w:sz="4" w:space="0"/>
              <w:right w:val="single" w:color="auto" w:sz="2" w:space="0"/>
            </w:tcBorders>
            <w:vAlign w:val="center"/>
          </w:tcPr>
          <w:p w14:paraId="72635AAC">
            <w:pPr>
              <w:wordWrap w:val="0"/>
              <w:topLinePunct/>
              <w:spacing w:line="240" w:lineRule="atLeast"/>
              <w:ind w:firstLine="0" w:firstLineChars="0"/>
              <w:jc w:val="center"/>
              <w:rPr>
                <w:spacing w:val="-20"/>
                <w:sz w:val="18"/>
                <w:szCs w:val="18"/>
              </w:rPr>
            </w:pPr>
            <w:r>
              <w:rPr>
                <w:rFonts w:hint="eastAsia"/>
                <w:spacing w:val="-20"/>
                <w:sz w:val="18"/>
                <w:szCs w:val="18"/>
              </w:rPr>
              <w:t>0.0267***</w:t>
            </w:r>
            <w:r>
              <w:rPr>
                <w:spacing w:val="-20"/>
                <w:sz w:val="18"/>
                <w:szCs w:val="18"/>
              </w:rPr>
              <w:t>(</w:t>
            </w:r>
            <w:r>
              <w:rPr>
                <w:rFonts w:hint="eastAsia"/>
                <w:spacing w:val="-20"/>
                <w:sz w:val="18"/>
                <w:szCs w:val="18"/>
              </w:rPr>
              <w:t>0.0033</w:t>
            </w:r>
            <w:r>
              <w:rPr>
                <w:spacing w:val="-20"/>
                <w:sz w:val="18"/>
                <w:szCs w:val="18"/>
              </w:rPr>
              <w:t>)</w:t>
            </w:r>
          </w:p>
        </w:tc>
        <w:tc>
          <w:tcPr>
            <w:tcW w:w="940" w:type="dxa"/>
            <w:tcBorders>
              <w:top w:val="single" w:color="auto" w:sz="4" w:space="0"/>
              <w:left w:val="single" w:color="auto" w:sz="2" w:space="0"/>
              <w:bottom w:val="single" w:color="auto" w:sz="4" w:space="0"/>
              <w:right w:val="single" w:color="auto" w:sz="2" w:space="0"/>
            </w:tcBorders>
            <w:vAlign w:val="center"/>
          </w:tcPr>
          <w:p w14:paraId="689A77C9">
            <w:pPr>
              <w:wordWrap w:val="0"/>
              <w:topLinePunct/>
              <w:spacing w:line="240" w:lineRule="atLeast"/>
              <w:ind w:firstLine="0" w:firstLineChars="0"/>
              <w:jc w:val="center"/>
              <w:rPr>
                <w:spacing w:val="-20"/>
                <w:sz w:val="18"/>
                <w:szCs w:val="18"/>
              </w:rPr>
            </w:pPr>
            <w:r>
              <w:rPr>
                <w:rFonts w:hint="eastAsia"/>
                <w:spacing w:val="-20"/>
                <w:sz w:val="18"/>
                <w:szCs w:val="18"/>
              </w:rPr>
              <w:t>0.0259***</w:t>
            </w:r>
          </w:p>
          <w:p w14:paraId="08F24B3D">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0.0033</w:t>
            </w:r>
            <w:r>
              <w:rPr>
                <w:spacing w:val="-20"/>
                <w:sz w:val="18"/>
                <w:szCs w:val="18"/>
              </w:rPr>
              <w:t>)</w:t>
            </w:r>
          </w:p>
        </w:tc>
        <w:tc>
          <w:tcPr>
            <w:tcW w:w="920" w:type="dxa"/>
            <w:tcBorders>
              <w:top w:val="single" w:color="auto" w:sz="4" w:space="0"/>
              <w:left w:val="single" w:color="auto" w:sz="2" w:space="0"/>
              <w:bottom w:val="single" w:color="auto" w:sz="4" w:space="0"/>
              <w:right w:val="single" w:color="auto" w:sz="2" w:space="0"/>
            </w:tcBorders>
            <w:vAlign w:val="center"/>
          </w:tcPr>
          <w:p w14:paraId="523D283E">
            <w:pPr>
              <w:wordWrap w:val="0"/>
              <w:topLinePunct/>
              <w:spacing w:line="240" w:lineRule="atLeast"/>
              <w:ind w:firstLine="0" w:firstLineChars="0"/>
              <w:jc w:val="center"/>
              <w:rPr>
                <w:spacing w:val="-20"/>
                <w:sz w:val="18"/>
                <w:szCs w:val="18"/>
              </w:rPr>
            </w:pPr>
            <w:r>
              <w:rPr>
                <w:rFonts w:hint="eastAsia"/>
                <w:spacing w:val="-20"/>
                <w:sz w:val="18"/>
                <w:szCs w:val="18"/>
              </w:rPr>
              <w:t>0.0256***</w:t>
            </w:r>
          </w:p>
          <w:p w14:paraId="0F3DBE80">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0.0035</w:t>
            </w:r>
            <w:r>
              <w:rPr>
                <w:spacing w:val="-20"/>
                <w:sz w:val="18"/>
                <w:szCs w:val="18"/>
              </w:rPr>
              <w:t>)</w:t>
            </w:r>
          </w:p>
        </w:tc>
        <w:tc>
          <w:tcPr>
            <w:tcW w:w="970" w:type="dxa"/>
            <w:tcBorders>
              <w:top w:val="single" w:color="auto" w:sz="4" w:space="0"/>
              <w:left w:val="single" w:color="auto" w:sz="2" w:space="0"/>
              <w:bottom w:val="single" w:color="auto" w:sz="4" w:space="0"/>
              <w:right w:val="single" w:color="auto" w:sz="2" w:space="0"/>
            </w:tcBorders>
            <w:vAlign w:val="center"/>
          </w:tcPr>
          <w:p w14:paraId="4EC1DE29">
            <w:pPr>
              <w:wordWrap w:val="0"/>
              <w:topLinePunct/>
              <w:spacing w:line="240" w:lineRule="atLeast"/>
              <w:ind w:firstLine="0" w:firstLineChars="0"/>
              <w:jc w:val="center"/>
              <w:rPr>
                <w:spacing w:val="-20"/>
                <w:sz w:val="18"/>
                <w:szCs w:val="18"/>
              </w:rPr>
            </w:pPr>
            <w:r>
              <w:rPr>
                <w:rFonts w:hint="eastAsia"/>
                <w:spacing w:val="-20"/>
                <w:sz w:val="18"/>
                <w:szCs w:val="18"/>
              </w:rPr>
              <w:t>0.0242***</w:t>
            </w:r>
          </w:p>
          <w:p w14:paraId="7E74A46E">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0.0033</w:t>
            </w:r>
            <w:r>
              <w:rPr>
                <w:spacing w:val="-20"/>
                <w:sz w:val="18"/>
                <w:szCs w:val="18"/>
              </w:rPr>
              <w:t>)</w:t>
            </w:r>
          </w:p>
        </w:tc>
        <w:tc>
          <w:tcPr>
            <w:tcW w:w="935" w:type="dxa"/>
            <w:tcBorders>
              <w:top w:val="single" w:color="auto" w:sz="4" w:space="0"/>
              <w:left w:val="single" w:color="auto" w:sz="2" w:space="0"/>
              <w:bottom w:val="single" w:color="auto" w:sz="4" w:space="0"/>
            </w:tcBorders>
            <w:vAlign w:val="center"/>
          </w:tcPr>
          <w:p w14:paraId="5BD5127C">
            <w:pPr>
              <w:wordWrap w:val="0"/>
              <w:topLinePunct/>
              <w:spacing w:line="240" w:lineRule="atLeast"/>
              <w:ind w:firstLine="0" w:firstLineChars="0"/>
              <w:jc w:val="center"/>
              <w:rPr>
                <w:spacing w:val="-20"/>
                <w:sz w:val="18"/>
                <w:szCs w:val="18"/>
              </w:rPr>
            </w:pPr>
            <w:r>
              <w:rPr>
                <w:rFonts w:hint="eastAsia"/>
                <w:spacing w:val="-20"/>
                <w:sz w:val="18"/>
                <w:szCs w:val="18"/>
              </w:rPr>
              <w:t>0.0245***</w:t>
            </w:r>
          </w:p>
          <w:p w14:paraId="18330913">
            <w:pPr>
              <w:wordWrap w:val="0"/>
              <w:topLinePunct/>
              <w:spacing w:line="240" w:lineRule="atLeast"/>
              <w:ind w:firstLine="0" w:firstLineChars="0"/>
              <w:jc w:val="center"/>
              <w:rPr>
                <w:spacing w:val="-20"/>
                <w:sz w:val="18"/>
                <w:szCs w:val="18"/>
              </w:rPr>
            </w:pPr>
            <w:r>
              <w:rPr>
                <w:spacing w:val="-20"/>
                <w:sz w:val="18"/>
                <w:szCs w:val="18"/>
              </w:rPr>
              <w:t>(</w:t>
            </w:r>
            <w:r>
              <w:rPr>
                <w:rFonts w:hint="eastAsia"/>
                <w:spacing w:val="-20"/>
                <w:sz w:val="18"/>
                <w:szCs w:val="18"/>
              </w:rPr>
              <w:t>0.0029</w:t>
            </w:r>
            <w:r>
              <w:rPr>
                <w:spacing w:val="-20"/>
                <w:sz w:val="18"/>
                <w:szCs w:val="18"/>
              </w:rPr>
              <w:t>)</w:t>
            </w:r>
          </w:p>
        </w:tc>
      </w:tr>
      <w:tr w14:paraId="495A0AE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single" w:color="auto" w:sz="4" w:space="0"/>
              <w:bottom w:val="nil"/>
              <w:right w:val="single" w:color="auto" w:sz="2" w:space="0"/>
            </w:tcBorders>
            <w:vAlign w:val="center"/>
          </w:tcPr>
          <w:p w14:paraId="235FE67D">
            <w:pPr>
              <w:wordWrap w:val="0"/>
              <w:topLinePunct/>
              <w:ind w:firstLine="0" w:firstLineChars="0"/>
              <w:jc w:val="left"/>
              <w:rPr>
                <w:sz w:val="18"/>
                <w:szCs w:val="18"/>
              </w:rPr>
            </w:pPr>
            <w:r>
              <w:rPr>
                <w:sz w:val="18"/>
                <w:szCs w:val="18"/>
              </w:rPr>
              <w:t>Innov</w:t>
            </w:r>
          </w:p>
        </w:tc>
        <w:tc>
          <w:tcPr>
            <w:tcW w:w="1077" w:type="dxa"/>
            <w:tcBorders>
              <w:top w:val="single" w:color="auto" w:sz="4" w:space="0"/>
              <w:left w:val="single" w:color="auto" w:sz="2" w:space="0"/>
              <w:right w:val="single" w:color="auto" w:sz="2" w:space="0"/>
              <w:tl2br w:val="nil"/>
              <w:tr2bl w:val="nil"/>
            </w:tcBorders>
            <w:vAlign w:val="center"/>
          </w:tcPr>
          <w:p w14:paraId="311A1BE8">
            <w:pPr>
              <w:wordWrap w:val="0"/>
              <w:topLinePunct/>
              <w:ind w:firstLine="0" w:firstLineChars="0"/>
              <w:jc w:val="center"/>
              <w:rPr>
                <w:spacing w:val="-20"/>
                <w:sz w:val="18"/>
                <w:szCs w:val="18"/>
              </w:rPr>
            </w:pPr>
          </w:p>
        </w:tc>
        <w:tc>
          <w:tcPr>
            <w:tcW w:w="1049" w:type="dxa"/>
            <w:tcBorders>
              <w:top w:val="single" w:color="auto" w:sz="4" w:space="0"/>
              <w:left w:val="single" w:color="auto" w:sz="2" w:space="0"/>
              <w:bottom w:val="nil"/>
              <w:right w:val="single" w:color="auto" w:sz="2" w:space="0"/>
            </w:tcBorders>
            <w:vAlign w:val="center"/>
          </w:tcPr>
          <w:p w14:paraId="51AD6C98">
            <w:pPr>
              <w:wordWrap w:val="0"/>
              <w:topLinePunct/>
              <w:ind w:firstLine="0" w:firstLineChars="0"/>
              <w:jc w:val="center"/>
              <w:rPr>
                <w:spacing w:val="-20"/>
                <w:sz w:val="18"/>
                <w:szCs w:val="18"/>
              </w:rPr>
            </w:pPr>
          </w:p>
        </w:tc>
        <w:tc>
          <w:tcPr>
            <w:tcW w:w="991" w:type="dxa"/>
            <w:tcBorders>
              <w:top w:val="single" w:color="auto" w:sz="4" w:space="0"/>
              <w:left w:val="single" w:color="auto" w:sz="2" w:space="0"/>
              <w:bottom w:val="nil"/>
              <w:right w:val="single" w:color="auto" w:sz="2" w:space="0"/>
            </w:tcBorders>
            <w:vAlign w:val="center"/>
          </w:tcPr>
          <w:p w14:paraId="052BF0D8">
            <w:pPr>
              <w:wordWrap w:val="0"/>
              <w:topLinePunct/>
              <w:ind w:firstLine="0" w:firstLineChars="0"/>
              <w:jc w:val="center"/>
              <w:rPr>
                <w:spacing w:val="-20"/>
                <w:sz w:val="18"/>
                <w:szCs w:val="18"/>
              </w:rPr>
            </w:pPr>
          </w:p>
        </w:tc>
        <w:tc>
          <w:tcPr>
            <w:tcW w:w="1010" w:type="dxa"/>
            <w:tcBorders>
              <w:top w:val="single" w:color="auto" w:sz="4" w:space="0"/>
              <w:left w:val="single" w:color="auto" w:sz="2" w:space="0"/>
              <w:right w:val="single" w:color="auto" w:sz="2" w:space="0"/>
              <w:tl2br w:val="nil"/>
              <w:tr2bl w:val="nil"/>
            </w:tcBorders>
            <w:vAlign w:val="center"/>
          </w:tcPr>
          <w:p w14:paraId="01C337FC">
            <w:pPr>
              <w:wordWrap w:val="0"/>
              <w:topLinePunct/>
              <w:ind w:firstLine="0" w:firstLineChars="0"/>
              <w:jc w:val="center"/>
              <w:rPr>
                <w:spacing w:val="-20"/>
                <w:sz w:val="18"/>
                <w:szCs w:val="18"/>
              </w:rPr>
            </w:pPr>
            <w:r>
              <w:rPr>
                <w:rFonts w:hint="eastAsia"/>
                <w:spacing w:val="-20"/>
                <w:sz w:val="18"/>
                <w:szCs w:val="18"/>
              </w:rPr>
              <w:t>Yes</w:t>
            </w:r>
          </w:p>
        </w:tc>
        <w:tc>
          <w:tcPr>
            <w:tcW w:w="940" w:type="dxa"/>
            <w:tcBorders>
              <w:top w:val="single" w:color="auto" w:sz="4" w:space="0"/>
              <w:left w:val="single" w:color="auto" w:sz="2" w:space="0"/>
              <w:bottom w:val="nil"/>
              <w:right w:val="single" w:color="auto" w:sz="2" w:space="0"/>
            </w:tcBorders>
            <w:vAlign w:val="center"/>
          </w:tcPr>
          <w:p w14:paraId="394763C9">
            <w:pPr>
              <w:wordWrap w:val="0"/>
              <w:topLinePunct/>
              <w:ind w:firstLine="0" w:firstLineChars="0"/>
              <w:jc w:val="center"/>
              <w:rPr>
                <w:spacing w:val="-20"/>
                <w:sz w:val="18"/>
                <w:szCs w:val="18"/>
              </w:rPr>
            </w:pPr>
          </w:p>
        </w:tc>
        <w:tc>
          <w:tcPr>
            <w:tcW w:w="920" w:type="dxa"/>
            <w:tcBorders>
              <w:top w:val="single" w:color="auto" w:sz="4" w:space="0"/>
              <w:left w:val="single" w:color="auto" w:sz="2" w:space="0"/>
              <w:right w:val="single" w:color="auto" w:sz="2" w:space="0"/>
              <w:tl2br w:val="nil"/>
              <w:tr2bl w:val="nil"/>
            </w:tcBorders>
            <w:vAlign w:val="center"/>
          </w:tcPr>
          <w:p w14:paraId="02CBFA6E">
            <w:pPr>
              <w:wordWrap w:val="0"/>
              <w:topLinePunct/>
              <w:ind w:firstLine="0" w:firstLineChars="0"/>
              <w:jc w:val="center"/>
              <w:rPr>
                <w:spacing w:val="-20"/>
                <w:sz w:val="18"/>
                <w:szCs w:val="18"/>
              </w:rPr>
            </w:pPr>
          </w:p>
        </w:tc>
        <w:tc>
          <w:tcPr>
            <w:tcW w:w="970" w:type="dxa"/>
            <w:tcBorders>
              <w:top w:val="single" w:color="auto" w:sz="4" w:space="0"/>
              <w:left w:val="single" w:color="auto" w:sz="2" w:space="0"/>
              <w:bottom w:val="nil"/>
              <w:right w:val="single" w:color="auto" w:sz="2" w:space="0"/>
            </w:tcBorders>
            <w:vAlign w:val="center"/>
          </w:tcPr>
          <w:p w14:paraId="6653015C">
            <w:pPr>
              <w:wordWrap w:val="0"/>
              <w:topLinePunct/>
              <w:ind w:firstLine="0" w:firstLineChars="0"/>
              <w:jc w:val="center"/>
              <w:rPr>
                <w:spacing w:val="-20"/>
                <w:sz w:val="18"/>
                <w:szCs w:val="18"/>
              </w:rPr>
            </w:pPr>
          </w:p>
        </w:tc>
        <w:tc>
          <w:tcPr>
            <w:tcW w:w="935" w:type="dxa"/>
            <w:tcBorders>
              <w:top w:val="single" w:color="auto" w:sz="4" w:space="0"/>
              <w:left w:val="single" w:color="auto" w:sz="2" w:space="0"/>
              <w:tl2br w:val="nil"/>
              <w:tr2bl w:val="nil"/>
            </w:tcBorders>
            <w:vAlign w:val="center"/>
          </w:tcPr>
          <w:p w14:paraId="1968177E">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3AFB5B4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73" w:type="dxa"/>
            <w:tcBorders>
              <w:top w:val="nil"/>
              <w:bottom w:val="nil"/>
              <w:right w:val="single" w:color="auto" w:sz="2" w:space="0"/>
            </w:tcBorders>
            <w:vAlign w:val="center"/>
          </w:tcPr>
          <w:p w14:paraId="1E61EAE2">
            <w:pPr>
              <w:wordWrap w:val="0"/>
              <w:topLinePunct/>
              <w:ind w:firstLine="0" w:firstLineChars="0"/>
              <w:jc w:val="left"/>
              <w:rPr>
                <w:sz w:val="18"/>
                <w:szCs w:val="18"/>
              </w:rPr>
            </w:pPr>
            <w:r>
              <w:rPr>
                <w:rFonts w:hint="eastAsia"/>
              </w:rPr>
              <w:t>Jrkj</w:t>
            </w:r>
          </w:p>
        </w:tc>
        <w:tc>
          <w:tcPr>
            <w:tcW w:w="1077" w:type="dxa"/>
            <w:tcBorders>
              <w:left w:val="single" w:color="auto" w:sz="2" w:space="0"/>
              <w:right w:val="single" w:color="auto" w:sz="2" w:space="0"/>
              <w:tl2br w:val="nil"/>
              <w:tr2bl w:val="nil"/>
            </w:tcBorders>
            <w:vAlign w:val="center"/>
          </w:tcPr>
          <w:p w14:paraId="2D7CB034">
            <w:pPr>
              <w:wordWrap w:val="0"/>
              <w:topLinePunct/>
              <w:ind w:firstLine="0" w:firstLineChars="0"/>
              <w:jc w:val="center"/>
              <w:rPr>
                <w:spacing w:val="-20"/>
                <w:sz w:val="18"/>
                <w:szCs w:val="18"/>
              </w:rPr>
            </w:pPr>
          </w:p>
        </w:tc>
        <w:tc>
          <w:tcPr>
            <w:tcW w:w="1049" w:type="dxa"/>
            <w:tcBorders>
              <w:top w:val="nil"/>
              <w:left w:val="single" w:color="auto" w:sz="2" w:space="0"/>
              <w:bottom w:val="nil"/>
              <w:right w:val="single" w:color="auto" w:sz="2" w:space="0"/>
            </w:tcBorders>
            <w:vAlign w:val="center"/>
          </w:tcPr>
          <w:p w14:paraId="23807509">
            <w:pPr>
              <w:wordWrap w:val="0"/>
              <w:topLinePunct/>
              <w:ind w:firstLine="0" w:firstLineChars="0"/>
              <w:jc w:val="center"/>
              <w:rPr>
                <w:spacing w:val="-20"/>
                <w:sz w:val="18"/>
                <w:szCs w:val="18"/>
              </w:rPr>
            </w:pPr>
          </w:p>
        </w:tc>
        <w:tc>
          <w:tcPr>
            <w:tcW w:w="991" w:type="dxa"/>
            <w:tcBorders>
              <w:top w:val="nil"/>
              <w:left w:val="single" w:color="auto" w:sz="2" w:space="0"/>
              <w:bottom w:val="nil"/>
              <w:right w:val="single" w:color="auto" w:sz="2" w:space="0"/>
            </w:tcBorders>
            <w:vAlign w:val="center"/>
          </w:tcPr>
          <w:p w14:paraId="1216B250">
            <w:pPr>
              <w:wordWrap w:val="0"/>
              <w:topLinePunct/>
              <w:ind w:firstLine="0" w:firstLineChars="0"/>
              <w:jc w:val="center"/>
              <w:rPr>
                <w:spacing w:val="-20"/>
                <w:sz w:val="18"/>
                <w:szCs w:val="18"/>
              </w:rPr>
            </w:pPr>
          </w:p>
        </w:tc>
        <w:tc>
          <w:tcPr>
            <w:tcW w:w="1010" w:type="dxa"/>
            <w:tcBorders>
              <w:left w:val="single" w:color="auto" w:sz="2" w:space="0"/>
              <w:right w:val="single" w:color="auto" w:sz="2" w:space="0"/>
              <w:tl2br w:val="nil"/>
              <w:tr2bl w:val="nil"/>
            </w:tcBorders>
            <w:vAlign w:val="center"/>
          </w:tcPr>
          <w:p w14:paraId="0BC36AF3">
            <w:pPr>
              <w:wordWrap w:val="0"/>
              <w:topLinePunct/>
              <w:ind w:firstLine="0" w:firstLineChars="0"/>
              <w:jc w:val="center"/>
              <w:rPr>
                <w:spacing w:val="-20"/>
                <w:sz w:val="18"/>
                <w:szCs w:val="18"/>
              </w:rPr>
            </w:pPr>
          </w:p>
        </w:tc>
        <w:tc>
          <w:tcPr>
            <w:tcW w:w="940" w:type="dxa"/>
            <w:tcBorders>
              <w:top w:val="nil"/>
              <w:left w:val="single" w:color="auto" w:sz="2" w:space="0"/>
              <w:bottom w:val="nil"/>
              <w:right w:val="single" w:color="auto" w:sz="2" w:space="0"/>
            </w:tcBorders>
            <w:vAlign w:val="center"/>
          </w:tcPr>
          <w:p w14:paraId="62EAB57B">
            <w:pPr>
              <w:wordWrap w:val="0"/>
              <w:topLinePunct/>
              <w:ind w:firstLine="0" w:firstLineChars="0"/>
              <w:jc w:val="center"/>
              <w:rPr>
                <w:spacing w:val="-20"/>
                <w:sz w:val="18"/>
                <w:szCs w:val="18"/>
              </w:rPr>
            </w:pPr>
            <w:r>
              <w:rPr>
                <w:rFonts w:hint="eastAsia"/>
                <w:spacing w:val="-20"/>
                <w:sz w:val="18"/>
                <w:szCs w:val="18"/>
              </w:rPr>
              <w:t>Yes</w:t>
            </w:r>
          </w:p>
        </w:tc>
        <w:tc>
          <w:tcPr>
            <w:tcW w:w="920" w:type="dxa"/>
            <w:tcBorders>
              <w:left w:val="single" w:color="auto" w:sz="2" w:space="0"/>
              <w:right w:val="single" w:color="auto" w:sz="2" w:space="0"/>
              <w:tl2br w:val="nil"/>
              <w:tr2bl w:val="nil"/>
            </w:tcBorders>
            <w:vAlign w:val="center"/>
          </w:tcPr>
          <w:p w14:paraId="61411B47">
            <w:pPr>
              <w:wordWrap w:val="0"/>
              <w:topLinePunct/>
              <w:ind w:firstLine="0" w:firstLineChars="0"/>
              <w:jc w:val="center"/>
              <w:rPr>
                <w:spacing w:val="-20"/>
                <w:sz w:val="18"/>
                <w:szCs w:val="18"/>
              </w:rPr>
            </w:pPr>
          </w:p>
        </w:tc>
        <w:tc>
          <w:tcPr>
            <w:tcW w:w="970" w:type="dxa"/>
            <w:tcBorders>
              <w:top w:val="nil"/>
              <w:left w:val="single" w:color="auto" w:sz="2" w:space="0"/>
              <w:bottom w:val="nil"/>
              <w:right w:val="single" w:color="auto" w:sz="2" w:space="0"/>
            </w:tcBorders>
            <w:vAlign w:val="center"/>
          </w:tcPr>
          <w:p w14:paraId="19C06CB4">
            <w:pPr>
              <w:wordWrap w:val="0"/>
              <w:topLinePunct/>
              <w:ind w:firstLine="0" w:firstLineChars="0"/>
              <w:jc w:val="center"/>
              <w:rPr>
                <w:spacing w:val="-20"/>
                <w:sz w:val="18"/>
                <w:szCs w:val="18"/>
              </w:rPr>
            </w:pPr>
          </w:p>
        </w:tc>
        <w:tc>
          <w:tcPr>
            <w:tcW w:w="935" w:type="dxa"/>
            <w:tcBorders>
              <w:left w:val="single" w:color="auto" w:sz="2" w:space="0"/>
              <w:tl2br w:val="nil"/>
              <w:tr2bl w:val="nil"/>
            </w:tcBorders>
            <w:vAlign w:val="center"/>
          </w:tcPr>
          <w:p w14:paraId="0616FD2D">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526DEA6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57E9618C">
            <w:pPr>
              <w:wordWrap w:val="0"/>
              <w:topLinePunct/>
              <w:ind w:firstLine="0" w:firstLineChars="0"/>
              <w:jc w:val="left"/>
              <w:rPr>
                <w:sz w:val="18"/>
                <w:szCs w:val="18"/>
              </w:rPr>
            </w:pPr>
            <w:r>
              <w:rPr>
                <w:rFonts w:hint="eastAsia"/>
                <w:sz w:val="18"/>
                <w:szCs w:val="18"/>
              </w:rPr>
              <w:t>Wisd</w:t>
            </w:r>
          </w:p>
        </w:tc>
        <w:tc>
          <w:tcPr>
            <w:tcW w:w="1077" w:type="dxa"/>
            <w:tcBorders>
              <w:left w:val="single" w:color="auto" w:sz="2" w:space="0"/>
              <w:right w:val="single" w:color="auto" w:sz="2" w:space="0"/>
              <w:tl2br w:val="nil"/>
              <w:tr2bl w:val="nil"/>
            </w:tcBorders>
            <w:vAlign w:val="center"/>
          </w:tcPr>
          <w:p w14:paraId="2F501EE3">
            <w:pPr>
              <w:wordWrap w:val="0"/>
              <w:topLinePunct/>
              <w:ind w:firstLine="0" w:firstLineChars="0"/>
              <w:jc w:val="center"/>
              <w:rPr>
                <w:spacing w:val="-20"/>
                <w:sz w:val="18"/>
                <w:szCs w:val="18"/>
              </w:rPr>
            </w:pPr>
          </w:p>
        </w:tc>
        <w:tc>
          <w:tcPr>
            <w:tcW w:w="1049" w:type="dxa"/>
            <w:tcBorders>
              <w:top w:val="nil"/>
              <w:left w:val="single" w:color="auto" w:sz="2" w:space="0"/>
              <w:bottom w:val="nil"/>
              <w:right w:val="single" w:color="auto" w:sz="2" w:space="0"/>
            </w:tcBorders>
            <w:vAlign w:val="center"/>
          </w:tcPr>
          <w:p w14:paraId="2FBDBAF0">
            <w:pPr>
              <w:wordWrap w:val="0"/>
              <w:topLinePunct/>
              <w:ind w:firstLine="0" w:firstLineChars="0"/>
              <w:jc w:val="center"/>
              <w:rPr>
                <w:spacing w:val="-20"/>
                <w:sz w:val="18"/>
                <w:szCs w:val="18"/>
              </w:rPr>
            </w:pPr>
          </w:p>
        </w:tc>
        <w:tc>
          <w:tcPr>
            <w:tcW w:w="991" w:type="dxa"/>
            <w:tcBorders>
              <w:top w:val="nil"/>
              <w:left w:val="single" w:color="auto" w:sz="2" w:space="0"/>
              <w:bottom w:val="nil"/>
              <w:right w:val="single" w:color="auto" w:sz="2" w:space="0"/>
            </w:tcBorders>
            <w:vAlign w:val="center"/>
          </w:tcPr>
          <w:p w14:paraId="1CB9662D">
            <w:pPr>
              <w:wordWrap w:val="0"/>
              <w:topLinePunct/>
              <w:ind w:firstLine="0" w:firstLineChars="0"/>
              <w:jc w:val="center"/>
              <w:rPr>
                <w:spacing w:val="-20"/>
                <w:sz w:val="18"/>
                <w:szCs w:val="18"/>
              </w:rPr>
            </w:pPr>
          </w:p>
        </w:tc>
        <w:tc>
          <w:tcPr>
            <w:tcW w:w="1010" w:type="dxa"/>
            <w:tcBorders>
              <w:left w:val="single" w:color="auto" w:sz="2" w:space="0"/>
              <w:right w:val="single" w:color="auto" w:sz="2" w:space="0"/>
              <w:tl2br w:val="nil"/>
              <w:tr2bl w:val="nil"/>
            </w:tcBorders>
            <w:vAlign w:val="center"/>
          </w:tcPr>
          <w:p w14:paraId="0F918FC9">
            <w:pPr>
              <w:wordWrap w:val="0"/>
              <w:topLinePunct/>
              <w:ind w:firstLine="0" w:firstLineChars="0"/>
              <w:jc w:val="center"/>
              <w:rPr>
                <w:spacing w:val="-20"/>
                <w:sz w:val="18"/>
                <w:szCs w:val="18"/>
              </w:rPr>
            </w:pPr>
          </w:p>
        </w:tc>
        <w:tc>
          <w:tcPr>
            <w:tcW w:w="940" w:type="dxa"/>
            <w:tcBorders>
              <w:top w:val="nil"/>
              <w:left w:val="single" w:color="auto" w:sz="2" w:space="0"/>
              <w:bottom w:val="nil"/>
              <w:right w:val="single" w:color="auto" w:sz="2" w:space="0"/>
            </w:tcBorders>
            <w:vAlign w:val="center"/>
          </w:tcPr>
          <w:p w14:paraId="5E45D7C7">
            <w:pPr>
              <w:wordWrap w:val="0"/>
              <w:topLinePunct/>
              <w:ind w:firstLine="0" w:firstLineChars="0"/>
              <w:jc w:val="center"/>
              <w:rPr>
                <w:spacing w:val="-20"/>
                <w:sz w:val="18"/>
                <w:szCs w:val="18"/>
              </w:rPr>
            </w:pPr>
          </w:p>
        </w:tc>
        <w:tc>
          <w:tcPr>
            <w:tcW w:w="920" w:type="dxa"/>
            <w:tcBorders>
              <w:left w:val="single" w:color="auto" w:sz="2" w:space="0"/>
              <w:right w:val="single" w:color="auto" w:sz="2" w:space="0"/>
              <w:tl2br w:val="nil"/>
              <w:tr2bl w:val="nil"/>
            </w:tcBorders>
            <w:vAlign w:val="center"/>
          </w:tcPr>
          <w:p w14:paraId="3873CB41">
            <w:pPr>
              <w:wordWrap w:val="0"/>
              <w:topLinePunct/>
              <w:ind w:firstLine="0" w:firstLineChars="0"/>
              <w:jc w:val="center"/>
              <w:rPr>
                <w:spacing w:val="-20"/>
                <w:sz w:val="18"/>
                <w:szCs w:val="18"/>
              </w:rPr>
            </w:pPr>
            <w:r>
              <w:rPr>
                <w:rFonts w:hint="eastAsia"/>
                <w:spacing w:val="-20"/>
                <w:sz w:val="18"/>
                <w:szCs w:val="18"/>
              </w:rPr>
              <w:t>Yes</w:t>
            </w:r>
          </w:p>
        </w:tc>
        <w:tc>
          <w:tcPr>
            <w:tcW w:w="970" w:type="dxa"/>
            <w:tcBorders>
              <w:top w:val="nil"/>
              <w:left w:val="single" w:color="auto" w:sz="2" w:space="0"/>
              <w:bottom w:val="nil"/>
              <w:right w:val="single" w:color="auto" w:sz="2" w:space="0"/>
            </w:tcBorders>
            <w:vAlign w:val="center"/>
          </w:tcPr>
          <w:p w14:paraId="4D494DE9">
            <w:pPr>
              <w:wordWrap w:val="0"/>
              <w:topLinePunct/>
              <w:ind w:firstLine="0" w:firstLineChars="0"/>
              <w:jc w:val="center"/>
              <w:rPr>
                <w:spacing w:val="-20"/>
                <w:sz w:val="18"/>
                <w:szCs w:val="18"/>
              </w:rPr>
            </w:pPr>
          </w:p>
        </w:tc>
        <w:tc>
          <w:tcPr>
            <w:tcW w:w="935" w:type="dxa"/>
            <w:tcBorders>
              <w:left w:val="single" w:color="auto" w:sz="2" w:space="0"/>
              <w:tl2br w:val="nil"/>
              <w:tr2bl w:val="nil"/>
            </w:tcBorders>
            <w:vAlign w:val="center"/>
          </w:tcPr>
          <w:p w14:paraId="103EC08F">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1C78F06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5DC6D4C0">
            <w:pPr>
              <w:wordWrap w:val="0"/>
              <w:topLinePunct/>
              <w:ind w:firstLine="0" w:firstLineChars="0"/>
              <w:jc w:val="left"/>
              <w:rPr>
                <w:sz w:val="18"/>
                <w:szCs w:val="18"/>
              </w:rPr>
            </w:pPr>
            <w:r>
              <w:rPr>
                <w:rFonts w:hint="eastAsia"/>
                <w:sz w:val="18"/>
                <w:szCs w:val="18"/>
              </w:rPr>
              <w:t>Kdzg</w:t>
            </w:r>
          </w:p>
        </w:tc>
        <w:tc>
          <w:tcPr>
            <w:tcW w:w="1077" w:type="dxa"/>
            <w:tcBorders>
              <w:left w:val="single" w:color="auto" w:sz="2" w:space="0"/>
              <w:right w:val="single" w:color="auto" w:sz="2" w:space="0"/>
              <w:tl2br w:val="nil"/>
              <w:tr2bl w:val="nil"/>
            </w:tcBorders>
            <w:vAlign w:val="center"/>
          </w:tcPr>
          <w:p w14:paraId="2FDCA756">
            <w:pPr>
              <w:wordWrap w:val="0"/>
              <w:topLinePunct/>
              <w:ind w:firstLine="0" w:firstLineChars="0"/>
              <w:jc w:val="center"/>
              <w:rPr>
                <w:spacing w:val="-20"/>
                <w:sz w:val="18"/>
                <w:szCs w:val="18"/>
              </w:rPr>
            </w:pPr>
          </w:p>
        </w:tc>
        <w:tc>
          <w:tcPr>
            <w:tcW w:w="1049" w:type="dxa"/>
            <w:tcBorders>
              <w:top w:val="nil"/>
              <w:left w:val="single" w:color="auto" w:sz="2" w:space="0"/>
              <w:bottom w:val="nil"/>
              <w:right w:val="single" w:color="auto" w:sz="2" w:space="0"/>
            </w:tcBorders>
            <w:vAlign w:val="center"/>
          </w:tcPr>
          <w:p w14:paraId="3F0C6310">
            <w:pPr>
              <w:wordWrap w:val="0"/>
              <w:topLinePunct/>
              <w:ind w:firstLine="0" w:firstLineChars="0"/>
              <w:jc w:val="center"/>
              <w:rPr>
                <w:spacing w:val="-20"/>
                <w:sz w:val="18"/>
                <w:szCs w:val="18"/>
              </w:rPr>
            </w:pPr>
          </w:p>
        </w:tc>
        <w:tc>
          <w:tcPr>
            <w:tcW w:w="991" w:type="dxa"/>
            <w:tcBorders>
              <w:top w:val="nil"/>
              <w:left w:val="single" w:color="auto" w:sz="2" w:space="0"/>
              <w:bottom w:val="nil"/>
              <w:right w:val="single" w:color="auto" w:sz="2" w:space="0"/>
            </w:tcBorders>
            <w:vAlign w:val="center"/>
          </w:tcPr>
          <w:p w14:paraId="594127F7">
            <w:pPr>
              <w:wordWrap w:val="0"/>
              <w:topLinePunct/>
              <w:ind w:firstLine="0" w:firstLineChars="0"/>
              <w:jc w:val="center"/>
              <w:rPr>
                <w:spacing w:val="-20"/>
                <w:sz w:val="18"/>
                <w:szCs w:val="18"/>
              </w:rPr>
            </w:pPr>
          </w:p>
        </w:tc>
        <w:tc>
          <w:tcPr>
            <w:tcW w:w="1010" w:type="dxa"/>
            <w:tcBorders>
              <w:left w:val="single" w:color="auto" w:sz="2" w:space="0"/>
              <w:right w:val="single" w:color="auto" w:sz="2" w:space="0"/>
              <w:tl2br w:val="nil"/>
              <w:tr2bl w:val="nil"/>
            </w:tcBorders>
            <w:vAlign w:val="center"/>
          </w:tcPr>
          <w:p w14:paraId="33A70FB0">
            <w:pPr>
              <w:wordWrap w:val="0"/>
              <w:topLinePunct/>
              <w:ind w:firstLine="0" w:firstLineChars="0"/>
              <w:jc w:val="center"/>
              <w:rPr>
                <w:spacing w:val="-20"/>
                <w:sz w:val="18"/>
                <w:szCs w:val="18"/>
              </w:rPr>
            </w:pPr>
          </w:p>
        </w:tc>
        <w:tc>
          <w:tcPr>
            <w:tcW w:w="940" w:type="dxa"/>
            <w:tcBorders>
              <w:top w:val="nil"/>
              <w:left w:val="single" w:color="auto" w:sz="2" w:space="0"/>
              <w:bottom w:val="nil"/>
              <w:right w:val="single" w:color="auto" w:sz="2" w:space="0"/>
            </w:tcBorders>
            <w:vAlign w:val="center"/>
          </w:tcPr>
          <w:p w14:paraId="2B11AE6D">
            <w:pPr>
              <w:wordWrap w:val="0"/>
              <w:topLinePunct/>
              <w:ind w:firstLine="0" w:firstLineChars="0"/>
              <w:jc w:val="center"/>
              <w:rPr>
                <w:spacing w:val="-20"/>
                <w:sz w:val="18"/>
                <w:szCs w:val="18"/>
              </w:rPr>
            </w:pPr>
          </w:p>
        </w:tc>
        <w:tc>
          <w:tcPr>
            <w:tcW w:w="920" w:type="dxa"/>
            <w:tcBorders>
              <w:left w:val="single" w:color="auto" w:sz="2" w:space="0"/>
              <w:right w:val="single" w:color="auto" w:sz="2" w:space="0"/>
              <w:tl2br w:val="nil"/>
              <w:tr2bl w:val="nil"/>
            </w:tcBorders>
            <w:vAlign w:val="center"/>
          </w:tcPr>
          <w:p w14:paraId="605D5D1E">
            <w:pPr>
              <w:wordWrap w:val="0"/>
              <w:topLinePunct/>
              <w:ind w:firstLine="0" w:firstLineChars="0"/>
              <w:jc w:val="center"/>
              <w:rPr>
                <w:spacing w:val="-20"/>
                <w:sz w:val="18"/>
                <w:szCs w:val="18"/>
              </w:rPr>
            </w:pPr>
          </w:p>
        </w:tc>
        <w:tc>
          <w:tcPr>
            <w:tcW w:w="970" w:type="dxa"/>
            <w:tcBorders>
              <w:top w:val="nil"/>
              <w:left w:val="single" w:color="auto" w:sz="2" w:space="0"/>
              <w:bottom w:val="nil"/>
              <w:right w:val="single" w:color="auto" w:sz="2" w:space="0"/>
            </w:tcBorders>
            <w:vAlign w:val="center"/>
          </w:tcPr>
          <w:p w14:paraId="78CA39B6">
            <w:pPr>
              <w:wordWrap w:val="0"/>
              <w:topLinePunct/>
              <w:ind w:firstLine="0" w:firstLineChars="0"/>
              <w:jc w:val="center"/>
              <w:rPr>
                <w:spacing w:val="-20"/>
                <w:sz w:val="18"/>
                <w:szCs w:val="18"/>
              </w:rPr>
            </w:pPr>
            <w:r>
              <w:rPr>
                <w:rFonts w:hint="eastAsia"/>
                <w:spacing w:val="-20"/>
                <w:sz w:val="18"/>
                <w:szCs w:val="18"/>
              </w:rPr>
              <w:t>Yes</w:t>
            </w:r>
          </w:p>
        </w:tc>
        <w:tc>
          <w:tcPr>
            <w:tcW w:w="935" w:type="dxa"/>
            <w:tcBorders>
              <w:left w:val="single" w:color="auto" w:sz="2" w:space="0"/>
              <w:tl2br w:val="nil"/>
              <w:tr2bl w:val="nil"/>
            </w:tcBorders>
            <w:vAlign w:val="center"/>
          </w:tcPr>
          <w:p w14:paraId="0114F7F4">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4E28E35D">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66AC8CEB">
            <w:pPr>
              <w:widowControl/>
              <w:spacing w:before="60" w:after="60"/>
              <w:ind w:firstLine="0" w:firstLineChars="0"/>
              <w:jc w:val="left"/>
              <w:rPr>
                <w:rFonts w:eastAsia="楷体"/>
                <w:kern w:val="0"/>
                <w:sz w:val="18"/>
                <w:szCs w:val="18"/>
              </w:rPr>
            </w:pPr>
            <w:r>
              <w:rPr>
                <w:rFonts w:hint="eastAsia" w:eastAsia="楷体"/>
                <w:kern w:val="0"/>
                <w:sz w:val="18"/>
                <w:szCs w:val="18"/>
              </w:rPr>
              <w:t>控制变量一次项</w:t>
            </w:r>
          </w:p>
        </w:tc>
        <w:tc>
          <w:tcPr>
            <w:tcW w:w="1077" w:type="dxa"/>
            <w:tcBorders>
              <w:left w:val="single" w:color="auto" w:sz="2" w:space="0"/>
              <w:right w:val="single" w:color="auto" w:sz="2" w:space="0"/>
              <w:tl2br w:val="nil"/>
              <w:tr2bl w:val="nil"/>
            </w:tcBorders>
            <w:vAlign w:val="center"/>
          </w:tcPr>
          <w:p w14:paraId="04A6FA5D">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49" w:type="dxa"/>
            <w:tcBorders>
              <w:top w:val="nil"/>
              <w:left w:val="single" w:color="auto" w:sz="2" w:space="0"/>
              <w:bottom w:val="nil"/>
              <w:right w:val="single" w:color="auto" w:sz="2" w:space="0"/>
            </w:tcBorders>
            <w:vAlign w:val="center"/>
          </w:tcPr>
          <w:p w14:paraId="14DF7BA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91" w:type="dxa"/>
            <w:tcBorders>
              <w:top w:val="nil"/>
              <w:left w:val="single" w:color="auto" w:sz="2" w:space="0"/>
              <w:bottom w:val="nil"/>
              <w:right w:val="single" w:color="auto" w:sz="2" w:space="0"/>
            </w:tcBorders>
            <w:vAlign w:val="center"/>
          </w:tcPr>
          <w:p w14:paraId="5C96B204">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10" w:type="dxa"/>
            <w:tcBorders>
              <w:left w:val="single" w:color="auto" w:sz="2" w:space="0"/>
              <w:right w:val="single" w:color="auto" w:sz="2" w:space="0"/>
              <w:tl2br w:val="nil"/>
              <w:tr2bl w:val="nil"/>
            </w:tcBorders>
            <w:vAlign w:val="center"/>
          </w:tcPr>
          <w:p w14:paraId="1C383E30">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40" w:type="dxa"/>
            <w:tcBorders>
              <w:top w:val="nil"/>
              <w:left w:val="single" w:color="auto" w:sz="2" w:space="0"/>
              <w:bottom w:val="nil"/>
              <w:right w:val="single" w:color="auto" w:sz="2" w:space="0"/>
            </w:tcBorders>
            <w:vAlign w:val="center"/>
          </w:tcPr>
          <w:p w14:paraId="34B67F25">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20" w:type="dxa"/>
            <w:tcBorders>
              <w:left w:val="single" w:color="auto" w:sz="2" w:space="0"/>
              <w:right w:val="single" w:color="auto" w:sz="2" w:space="0"/>
              <w:tl2br w:val="nil"/>
              <w:tr2bl w:val="nil"/>
            </w:tcBorders>
            <w:vAlign w:val="center"/>
          </w:tcPr>
          <w:p w14:paraId="583881C3">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70" w:type="dxa"/>
            <w:tcBorders>
              <w:top w:val="nil"/>
              <w:left w:val="single" w:color="auto" w:sz="2" w:space="0"/>
              <w:bottom w:val="nil"/>
              <w:right w:val="single" w:color="auto" w:sz="2" w:space="0"/>
            </w:tcBorders>
            <w:vAlign w:val="center"/>
          </w:tcPr>
          <w:p w14:paraId="0AD6EF15">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5" w:type="dxa"/>
            <w:tcBorders>
              <w:left w:val="single" w:color="auto" w:sz="2" w:space="0"/>
              <w:tl2br w:val="nil"/>
              <w:tr2bl w:val="nil"/>
            </w:tcBorders>
            <w:vAlign w:val="center"/>
          </w:tcPr>
          <w:p w14:paraId="729EB8EA">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1C75083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11A75874">
            <w:pPr>
              <w:widowControl/>
              <w:spacing w:before="60" w:after="60"/>
              <w:ind w:firstLine="0" w:firstLineChars="0"/>
              <w:jc w:val="left"/>
              <w:rPr>
                <w:rFonts w:eastAsia="楷体"/>
                <w:kern w:val="0"/>
                <w:sz w:val="18"/>
                <w:szCs w:val="18"/>
              </w:rPr>
            </w:pPr>
            <w:r>
              <w:rPr>
                <w:rFonts w:hint="eastAsia" w:eastAsia="楷体"/>
                <w:kern w:val="0"/>
                <w:sz w:val="18"/>
                <w:szCs w:val="18"/>
              </w:rPr>
              <w:t>控制变量二次项</w:t>
            </w:r>
          </w:p>
        </w:tc>
        <w:tc>
          <w:tcPr>
            <w:tcW w:w="1077" w:type="dxa"/>
            <w:tcBorders>
              <w:left w:val="single" w:color="auto" w:sz="2" w:space="0"/>
              <w:right w:val="single" w:color="auto" w:sz="2" w:space="0"/>
              <w:tl2br w:val="nil"/>
              <w:tr2bl w:val="nil"/>
            </w:tcBorders>
            <w:vAlign w:val="center"/>
          </w:tcPr>
          <w:p w14:paraId="5BF922AB">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49" w:type="dxa"/>
            <w:tcBorders>
              <w:top w:val="nil"/>
              <w:left w:val="single" w:color="auto" w:sz="2" w:space="0"/>
              <w:bottom w:val="nil"/>
              <w:right w:val="single" w:color="auto" w:sz="2" w:space="0"/>
            </w:tcBorders>
            <w:vAlign w:val="center"/>
          </w:tcPr>
          <w:p w14:paraId="7FB3F3B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91" w:type="dxa"/>
            <w:tcBorders>
              <w:top w:val="nil"/>
              <w:left w:val="single" w:color="auto" w:sz="2" w:space="0"/>
              <w:bottom w:val="nil"/>
              <w:right w:val="single" w:color="auto" w:sz="2" w:space="0"/>
            </w:tcBorders>
            <w:vAlign w:val="center"/>
          </w:tcPr>
          <w:p w14:paraId="359A1F35">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10" w:type="dxa"/>
            <w:tcBorders>
              <w:left w:val="single" w:color="auto" w:sz="2" w:space="0"/>
              <w:right w:val="single" w:color="auto" w:sz="2" w:space="0"/>
              <w:tl2br w:val="nil"/>
              <w:tr2bl w:val="nil"/>
            </w:tcBorders>
            <w:vAlign w:val="center"/>
          </w:tcPr>
          <w:p w14:paraId="74ABF8CF">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40" w:type="dxa"/>
            <w:tcBorders>
              <w:top w:val="nil"/>
              <w:left w:val="single" w:color="auto" w:sz="2" w:space="0"/>
              <w:bottom w:val="nil"/>
              <w:right w:val="single" w:color="auto" w:sz="2" w:space="0"/>
            </w:tcBorders>
            <w:vAlign w:val="center"/>
          </w:tcPr>
          <w:p w14:paraId="04752520">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20" w:type="dxa"/>
            <w:tcBorders>
              <w:left w:val="single" w:color="auto" w:sz="2" w:space="0"/>
              <w:right w:val="single" w:color="auto" w:sz="2" w:space="0"/>
              <w:tl2br w:val="nil"/>
              <w:tr2bl w:val="nil"/>
            </w:tcBorders>
            <w:vAlign w:val="center"/>
          </w:tcPr>
          <w:p w14:paraId="1D1DDCEC">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70" w:type="dxa"/>
            <w:tcBorders>
              <w:top w:val="nil"/>
              <w:left w:val="single" w:color="auto" w:sz="2" w:space="0"/>
              <w:bottom w:val="nil"/>
              <w:right w:val="single" w:color="auto" w:sz="2" w:space="0"/>
            </w:tcBorders>
            <w:vAlign w:val="center"/>
          </w:tcPr>
          <w:p w14:paraId="1DB1083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5" w:type="dxa"/>
            <w:tcBorders>
              <w:left w:val="single" w:color="auto" w:sz="2" w:space="0"/>
              <w:tl2br w:val="nil"/>
              <w:tr2bl w:val="nil"/>
            </w:tcBorders>
            <w:vAlign w:val="center"/>
          </w:tcPr>
          <w:p w14:paraId="2B955F48">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2BF2DAC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50C86B76">
            <w:pPr>
              <w:widowControl/>
              <w:spacing w:before="60" w:after="60"/>
              <w:ind w:firstLine="0" w:firstLineChars="0"/>
              <w:jc w:val="left"/>
              <w:rPr>
                <w:rFonts w:eastAsia="楷体"/>
                <w:kern w:val="0"/>
                <w:sz w:val="18"/>
                <w:szCs w:val="18"/>
              </w:rPr>
            </w:pPr>
            <w:r>
              <w:rPr>
                <w:rFonts w:hint="eastAsia" w:eastAsia="楷体"/>
                <w:kern w:val="0"/>
                <w:sz w:val="18"/>
                <w:szCs w:val="18"/>
              </w:rPr>
              <w:t>年份固定效应</w:t>
            </w:r>
          </w:p>
        </w:tc>
        <w:tc>
          <w:tcPr>
            <w:tcW w:w="1077" w:type="dxa"/>
            <w:tcBorders>
              <w:left w:val="single" w:color="auto" w:sz="2" w:space="0"/>
              <w:right w:val="single" w:color="auto" w:sz="2" w:space="0"/>
              <w:tl2br w:val="nil"/>
              <w:tr2bl w:val="nil"/>
            </w:tcBorders>
            <w:vAlign w:val="center"/>
          </w:tcPr>
          <w:p w14:paraId="33CF6D07">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49" w:type="dxa"/>
            <w:tcBorders>
              <w:top w:val="nil"/>
              <w:left w:val="single" w:color="auto" w:sz="2" w:space="0"/>
              <w:bottom w:val="nil"/>
              <w:right w:val="single" w:color="auto" w:sz="2" w:space="0"/>
            </w:tcBorders>
            <w:vAlign w:val="center"/>
          </w:tcPr>
          <w:p w14:paraId="3796733F">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91" w:type="dxa"/>
            <w:tcBorders>
              <w:top w:val="nil"/>
              <w:left w:val="single" w:color="auto" w:sz="2" w:space="0"/>
              <w:bottom w:val="nil"/>
              <w:right w:val="single" w:color="auto" w:sz="2" w:space="0"/>
            </w:tcBorders>
            <w:vAlign w:val="center"/>
          </w:tcPr>
          <w:p w14:paraId="21CFF93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10" w:type="dxa"/>
            <w:tcBorders>
              <w:left w:val="single" w:color="auto" w:sz="2" w:space="0"/>
              <w:right w:val="single" w:color="auto" w:sz="2" w:space="0"/>
              <w:tl2br w:val="nil"/>
              <w:tr2bl w:val="nil"/>
            </w:tcBorders>
            <w:vAlign w:val="center"/>
          </w:tcPr>
          <w:p w14:paraId="4298E888">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40" w:type="dxa"/>
            <w:tcBorders>
              <w:top w:val="nil"/>
              <w:left w:val="single" w:color="auto" w:sz="2" w:space="0"/>
              <w:bottom w:val="nil"/>
              <w:right w:val="single" w:color="auto" w:sz="2" w:space="0"/>
            </w:tcBorders>
            <w:vAlign w:val="center"/>
          </w:tcPr>
          <w:p w14:paraId="7F1D87A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20" w:type="dxa"/>
            <w:tcBorders>
              <w:left w:val="single" w:color="auto" w:sz="2" w:space="0"/>
              <w:right w:val="single" w:color="auto" w:sz="2" w:space="0"/>
              <w:tl2br w:val="nil"/>
              <w:tr2bl w:val="nil"/>
            </w:tcBorders>
            <w:vAlign w:val="center"/>
          </w:tcPr>
          <w:p w14:paraId="2AEA71EE">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70" w:type="dxa"/>
            <w:tcBorders>
              <w:top w:val="nil"/>
              <w:left w:val="single" w:color="auto" w:sz="2" w:space="0"/>
              <w:bottom w:val="nil"/>
              <w:right w:val="single" w:color="auto" w:sz="2" w:space="0"/>
            </w:tcBorders>
            <w:vAlign w:val="center"/>
          </w:tcPr>
          <w:p w14:paraId="7F2183F6">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5" w:type="dxa"/>
            <w:tcBorders>
              <w:left w:val="single" w:color="auto" w:sz="2" w:space="0"/>
              <w:tl2br w:val="nil"/>
              <w:tr2bl w:val="nil"/>
            </w:tcBorders>
            <w:vAlign w:val="center"/>
          </w:tcPr>
          <w:p w14:paraId="43D05FAA">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4550533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nil"/>
              <w:right w:val="single" w:color="auto" w:sz="2" w:space="0"/>
            </w:tcBorders>
            <w:vAlign w:val="center"/>
          </w:tcPr>
          <w:p w14:paraId="1EC07604">
            <w:pPr>
              <w:widowControl/>
              <w:spacing w:before="60" w:after="60"/>
              <w:ind w:firstLine="0" w:firstLineChars="0"/>
              <w:jc w:val="left"/>
              <w:rPr>
                <w:rFonts w:eastAsia="楷体"/>
                <w:kern w:val="0"/>
                <w:sz w:val="18"/>
                <w:szCs w:val="18"/>
              </w:rPr>
            </w:pPr>
            <w:r>
              <w:rPr>
                <w:rFonts w:hint="eastAsia" w:eastAsia="楷体"/>
                <w:kern w:val="0"/>
                <w:sz w:val="18"/>
                <w:szCs w:val="18"/>
              </w:rPr>
              <w:t>城市固定效应</w:t>
            </w:r>
          </w:p>
        </w:tc>
        <w:tc>
          <w:tcPr>
            <w:tcW w:w="1077" w:type="dxa"/>
            <w:tcBorders>
              <w:left w:val="single" w:color="auto" w:sz="2" w:space="0"/>
              <w:right w:val="single" w:color="auto" w:sz="2" w:space="0"/>
              <w:tl2br w:val="nil"/>
              <w:tr2bl w:val="nil"/>
            </w:tcBorders>
            <w:vAlign w:val="center"/>
          </w:tcPr>
          <w:p w14:paraId="587C29E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49" w:type="dxa"/>
            <w:tcBorders>
              <w:top w:val="nil"/>
              <w:left w:val="single" w:color="auto" w:sz="2" w:space="0"/>
              <w:bottom w:val="nil"/>
              <w:right w:val="single" w:color="auto" w:sz="2" w:space="0"/>
            </w:tcBorders>
            <w:vAlign w:val="center"/>
          </w:tcPr>
          <w:p w14:paraId="2E5F7FF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91" w:type="dxa"/>
            <w:tcBorders>
              <w:top w:val="nil"/>
              <w:left w:val="single" w:color="auto" w:sz="2" w:space="0"/>
              <w:bottom w:val="nil"/>
              <w:right w:val="single" w:color="auto" w:sz="2" w:space="0"/>
            </w:tcBorders>
            <w:vAlign w:val="center"/>
          </w:tcPr>
          <w:p w14:paraId="20BC2D46">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10" w:type="dxa"/>
            <w:tcBorders>
              <w:left w:val="single" w:color="auto" w:sz="2" w:space="0"/>
              <w:right w:val="single" w:color="auto" w:sz="2" w:space="0"/>
              <w:tl2br w:val="nil"/>
              <w:tr2bl w:val="nil"/>
            </w:tcBorders>
            <w:vAlign w:val="center"/>
          </w:tcPr>
          <w:p w14:paraId="6E219F68">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40" w:type="dxa"/>
            <w:tcBorders>
              <w:top w:val="nil"/>
              <w:left w:val="single" w:color="auto" w:sz="2" w:space="0"/>
              <w:bottom w:val="nil"/>
              <w:right w:val="single" w:color="auto" w:sz="2" w:space="0"/>
            </w:tcBorders>
            <w:vAlign w:val="center"/>
          </w:tcPr>
          <w:p w14:paraId="1AED55D7">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20" w:type="dxa"/>
            <w:tcBorders>
              <w:left w:val="single" w:color="auto" w:sz="2" w:space="0"/>
              <w:right w:val="single" w:color="auto" w:sz="2" w:space="0"/>
              <w:tl2br w:val="nil"/>
              <w:tr2bl w:val="nil"/>
            </w:tcBorders>
            <w:vAlign w:val="center"/>
          </w:tcPr>
          <w:p w14:paraId="1E02D2B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70" w:type="dxa"/>
            <w:tcBorders>
              <w:top w:val="nil"/>
              <w:left w:val="single" w:color="auto" w:sz="2" w:space="0"/>
              <w:bottom w:val="nil"/>
              <w:right w:val="single" w:color="auto" w:sz="2" w:space="0"/>
            </w:tcBorders>
            <w:vAlign w:val="center"/>
          </w:tcPr>
          <w:p w14:paraId="6D5AF73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5" w:type="dxa"/>
            <w:tcBorders>
              <w:left w:val="single" w:color="auto" w:sz="2" w:space="0"/>
              <w:tl2br w:val="nil"/>
              <w:tr2bl w:val="nil"/>
            </w:tcBorders>
            <w:vAlign w:val="center"/>
          </w:tcPr>
          <w:p w14:paraId="55CA19E5">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6ABA77E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nil"/>
              <w:bottom w:val="single" w:color="auto" w:sz="4" w:space="0"/>
              <w:right w:val="single" w:color="auto" w:sz="2" w:space="0"/>
            </w:tcBorders>
            <w:vAlign w:val="center"/>
          </w:tcPr>
          <w:p w14:paraId="35952379">
            <w:pPr>
              <w:widowControl/>
              <w:spacing w:before="60" w:after="60"/>
              <w:ind w:firstLine="0" w:firstLineChars="0"/>
              <w:jc w:val="left"/>
              <w:rPr>
                <w:rFonts w:eastAsia="楷体"/>
                <w:kern w:val="0"/>
                <w:sz w:val="18"/>
                <w:szCs w:val="18"/>
              </w:rPr>
            </w:pPr>
            <w:r>
              <w:rPr>
                <w:rFonts w:hint="eastAsia" w:eastAsia="楷体"/>
                <w:kern w:val="0"/>
                <w:sz w:val="18"/>
                <w:szCs w:val="18"/>
              </w:rPr>
              <w:t>省份-时间固定</w:t>
            </w:r>
          </w:p>
        </w:tc>
        <w:tc>
          <w:tcPr>
            <w:tcW w:w="1077" w:type="dxa"/>
            <w:tcBorders>
              <w:left w:val="single" w:color="auto" w:sz="2" w:space="0"/>
              <w:bottom w:val="single" w:color="auto" w:sz="4" w:space="0"/>
              <w:right w:val="single" w:color="auto" w:sz="2" w:space="0"/>
              <w:tl2br w:val="nil"/>
              <w:tr2bl w:val="nil"/>
            </w:tcBorders>
            <w:vAlign w:val="center"/>
          </w:tcPr>
          <w:p w14:paraId="357E9F2A">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1049" w:type="dxa"/>
            <w:tcBorders>
              <w:top w:val="nil"/>
              <w:left w:val="single" w:color="auto" w:sz="2" w:space="0"/>
              <w:bottom w:val="single" w:color="auto" w:sz="4" w:space="0"/>
              <w:right w:val="single" w:color="auto" w:sz="2" w:space="0"/>
            </w:tcBorders>
            <w:vAlign w:val="center"/>
          </w:tcPr>
          <w:p w14:paraId="55ACEFAA">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991" w:type="dxa"/>
            <w:tcBorders>
              <w:top w:val="nil"/>
              <w:left w:val="single" w:color="auto" w:sz="2" w:space="0"/>
              <w:bottom w:val="single" w:color="auto" w:sz="4" w:space="0"/>
              <w:right w:val="single" w:color="auto" w:sz="2" w:space="0"/>
            </w:tcBorders>
            <w:vAlign w:val="center"/>
          </w:tcPr>
          <w:p w14:paraId="66732BB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10" w:type="dxa"/>
            <w:tcBorders>
              <w:left w:val="single" w:color="auto" w:sz="2" w:space="0"/>
              <w:bottom w:val="single" w:color="auto" w:sz="4" w:space="0"/>
              <w:right w:val="single" w:color="auto" w:sz="2" w:space="0"/>
              <w:tl2br w:val="nil"/>
              <w:tr2bl w:val="nil"/>
            </w:tcBorders>
            <w:vAlign w:val="center"/>
          </w:tcPr>
          <w:p w14:paraId="6B600475">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940" w:type="dxa"/>
            <w:tcBorders>
              <w:top w:val="nil"/>
              <w:left w:val="single" w:color="auto" w:sz="2" w:space="0"/>
              <w:bottom w:val="single" w:color="auto" w:sz="4" w:space="0"/>
              <w:right w:val="single" w:color="auto" w:sz="2" w:space="0"/>
            </w:tcBorders>
            <w:vAlign w:val="center"/>
          </w:tcPr>
          <w:p w14:paraId="5D97F091">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920" w:type="dxa"/>
            <w:tcBorders>
              <w:left w:val="single" w:color="auto" w:sz="2" w:space="0"/>
              <w:bottom w:val="single" w:color="auto" w:sz="4" w:space="0"/>
              <w:right w:val="single" w:color="auto" w:sz="2" w:space="0"/>
              <w:tl2br w:val="nil"/>
              <w:tr2bl w:val="nil"/>
            </w:tcBorders>
            <w:vAlign w:val="center"/>
          </w:tcPr>
          <w:p w14:paraId="28F4D274">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970" w:type="dxa"/>
            <w:tcBorders>
              <w:top w:val="nil"/>
              <w:left w:val="single" w:color="auto" w:sz="2" w:space="0"/>
              <w:bottom w:val="single" w:color="auto" w:sz="4" w:space="0"/>
              <w:right w:val="single" w:color="auto" w:sz="2" w:space="0"/>
            </w:tcBorders>
            <w:vAlign w:val="center"/>
          </w:tcPr>
          <w:p w14:paraId="533A7592">
            <w:pPr>
              <w:wordWrap w:val="0"/>
              <w:topLinePunct/>
              <w:spacing w:line="240" w:lineRule="exact"/>
              <w:ind w:firstLine="0" w:firstLineChars="0"/>
              <w:jc w:val="center"/>
              <w:rPr>
                <w:spacing w:val="-20"/>
                <w:sz w:val="18"/>
                <w:szCs w:val="18"/>
              </w:rPr>
            </w:pPr>
            <w:r>
              <w:rPr>
                <w:rFonts w:hint="eastAsia"/>
                <w:spacing w:val="-20"/>
                <w:sz w:val="18"/>
                <w:szCs w:val="18"/>
              </w:rPr>
              <w:t>No</w:t>
            </w:r>
          </w:p>
        </w:tc>
        <w:tc>
          <w:tcPr>
            <w:tcW w:w="935" w:type="dxa"/>
            <w:tcBorders>
              <w:left w:val="single" w:color="auto" w:sz="2" w:space="0"/>
              <w:bottom w:val="single" w:color="auto" w:sz="4" w:space="0"/>
              <w:tl2br w:val="nil"/>
              <w:tr2bl w:val="nil"/>
            </w:tcBorders>
            <w:vAlign w:val="center"/>
          </w:tcPr>
          <w:p w14:paraId="04BD3C2F">
            <w:pPr>
              <w:wordWrap w:val="0"/>
              <w:topLinePunct/>
              <w:spacing w:line="240" w:lineRule="exact"/>
              <w:ind w:firstLine="0" w:firstLineChars="0"/>
              <w:jc w:val="center"/>
              <w:rPr>
                <w:spacing w:val="-20"/>
                <w:sz w:val="18"/>
                <w:szCs w:val="18"/>
              </w:rPr>
            </w:pPr>
            <w:r>
              <w:rPr>
                <w:rFonts w:hint="eastAsia"/>
                <w:spacing w:val="-20"/>
                <w:sz w:val="18"/>
                <w:szCs w:val="18"/>
              </w:rPr>
              <w:t>No</w:t>
            </w:r>
          </w:p>
        </w:tc>
      </w:tr>
      <w:tr w14:paraId="2270633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3" w:type="dxa"/>
            <w:tcBorders>
              <w:top w:val="single" w:color="auto" w:sz="4" w:space="0"/>
              <w:right w:val="single" w:color="auto" w:sz="2" w:space="0"/>
            </w:tcBorders>
            <w:vAlign w:val="center"/>
          </w:tcPr>
          <w:p w14:paraId="0E96551A">
            <w:pPr>
              <w:widowControl/>
              <w:spacing w:before="60" w:after="60"/>
              <w:ind w:firstLine="0" w:firstLineChars="0"/>
              <w:jc w:val="left"/>
              <w:rPr>
                <w:rFonts w:eastAsia="楷体"/>
                <w:kern w:val="0"/>
                <w:sz w:val="18"/>
                <w:szCs w:val="18"/>
              </w:rPr>
            </w:pPr>
            <w:r>
              <w:rPr>
                <w:rFonts w:hint="eastAsia" w:eastAsia="楷体"/>
                <w:kern w:val="0"/>
                <w:sz w:val="18"/>
                <w:szCs w:val="18"/>
              </w:rPr>
              <w:t>N</w:t>
            </w:r>
          </w:p>
        </w:tc>
        <w:tc>
          <w:tcPr>
            <w:tcW w:w="1077" w:type="dxa"/>
            <w:tcBorders>
              <w:top w:val="single" w:color="auto" w:sz="4" w:space="0"/>
              <w:left w:val="single" w:color="auto" w:sz="2" w:space="0"/>
              <w:right w:val="single" w:color="auto" w:sz="2" w:space="0"/>
              <w:tl2br w:val="nil"/>
              <w:tr2bl w:val="nil"/>
            </w:tcBorders>
            <w:vAlign w:val="center"/>
          </w:tcPr>
          <w:p w14:paraId="384B6FCE">
            <w:pPr>
              <w:wordWrap w:val="0"/>
              <w:topLinePunct/>
              <w:ind w:firstLine="0" w:firstLineChars="0"/>
              <w:jc w:val="center"/>
              <w:rPr>
                <w:spacing w:val="-20"/>
                <w:sz w:val="18"/>
                <w:szCs w:val="18"/>
              </w:rPr>
            </w:pPr>
            <w:r>
              <w:rPr>
                <w:spacing w:val="-20"/>
                <w:sz w:val="18"/>
                <w:szCs w:val="18"/>
              </w:rPr>
              <w:t>3679</w:t>
            </w:r>
          </w:p>
        </w:tc>
        <w:tc>
          <w:tcPr>
            <w:tcW w:w="1049" w:type="dxa"/>
            <w:tcBorders>
              <w:top w:val="single" w:color="auto" w:sz="4" w:space="0"/>
              <w:left w:val="single" w:color="auto" w:sz="2" w:space="0"/>
              <w:right w:val="single" w:color="auto" w:sz="2" w:space="0"/>
            </w:tcBorders>
            <w:vAlign w:val="center"/>
          </w:tcPr>
          <w:p w14:paraId="410D15DE">
            <w:pPr>
              <w:wordWrap w:val="0"/>
              <w:topLinePunct/>
              <w:ind w:firstLine="0" w:firstLineChars="0"/>
              <w:jc w:val="center"/>
              <w:rPr>
                <w:spacing w:val="-20"/>
                <w:sz w:val="18"/>
                <w:szCs w:val="18"/>
              </w:rPr>
            </w:pPr>
            <w:r>
              <w:rPr>
                <w:spacing w:val="-20"/>
                <w:sz w:val="18"/>
                <w:szCs w:val="18"/>
              </w:rPr>
              <w:t>3201</w:t>
            </w:r>
          </w:p>
        </w:tc>
        <w:tc>
          <w:tcPr>
            <w:tcW w:w="991" w:type="dxa"/>
            <w:tcBorders>
              <w:top w:val="single" w:color="auto" w:sz="4" w:space="0"/>
              <w:left w:val="single" w:color="auto" w:sz="2" w:space="0"/>
              <w:right w:val="single" w:color="auto" w:sz="2" w:space="0"/>
            </w:tcBorders>
            <w:vAlign w:val="center"/>
          </w:tcPr>
          <w:p w14:paraId="2E0CABEF">
            <w:pPr>
              <w:wordWrap w:val="0"/>
              <w:topLinePunct/>
              <w:ind w:firstLine="0" w:firstLineChars="0"/>
              <w:jc w:val="center"/>
              <w:rPr>
                <w:spacing w:val="-20"/>
                <w:sz w:val="18"/>
                <w:szCs w:val="18"/>
              </w:rPr>
            </w:pPr>
            <w:r>
              <w:rPr>
                <w:spacing w:val="-20"/>
                <w:sz w:val="18"/>
                <w:szCs w:val="18"/>
              </w:rPr>
              <w:t>3679</w:t>
            </w:r>
          </w:p>
        </w:tc>
        <w:tc>
          <w:tcPr>
            <w:tcW w:w="1010" w:type="dxa"/>
            <w:tcBorders>
              <w:top w:val="single" w:color="auto" w:sz="4" w:space="0"/>
              <w:left w:val="single" w:color="auto" w:sz="2" w:space="0"/>
              <w:right w:val="single" w:color="auto" w:sz="2" w:space="0"/>
              <w:tl2br w:val="nil"/>
              <w:tr2bl w:val="nil"/>
            </w:tcBorders>
            <w:vAlign w:val="center"/>
          </w:tcPr>
          <w:p w14:paraId="372CB1D6">
            <w:pPr>
              <w:wordWrap w:val="0"/>
              <w:topLinePunct/>
              <w:ind w:firstLine="0" w:firstLineChars="0"/>
              <w:jc w:val="center"/>
              <w:rPr>
                <w:spacing w:val="-20"/>
                <w:sz w:val="18"/>
                <w:szCs w:val="18"/>
              </w:rPr>
            </w:pPr>
            <w:r>
              <w:rPr>
                <w:spacing w:val="-20"/>
                <w:sz w:val="18"/>
                <w:szCs w:val="18"/>
              </w:rPr>
              <w:t>3679</w:t>
            </w:r>
          </w:p>
        </w:tc>
        <w:tc>
          <w:tcPr>
            <w:tcW w:w="940" w:type="dxa"/>
            <w:tcBorders>
              <w:top w:val="single" w:color="auto" w:sz="4" w:space="0"/>
              <w:left w:val="single" w:color="auto" w:sz="2" w:space="0"/>
              <w:right w:val="single" w:color="auto" w:sz="2" w:space="0"/>
            </w:tcBorders>
            <w:vAlign w:val="center"/>
          </w:tcPr>
          <w:p w14:paraId="48AF398E">
            <w:pPr>
              <w:wordWrap w:val="0"/>
              <w:topLinePunct/>
              <w:ind w:firstLine="0" w:firstLineChars="0"/>
              <w:jc w:val="center"/>
              <w:rPr>
                <w:spacing w:val="-20"/>
                <w:sz w:val="18"/>
                <w:szCs w:val="18"/>
              </w:rPr>
            </w:pPr>
            <w:r>
              <w:rPr>
                <w:spacing w:val="-20"/>
                <w:sz w:val="18"/>
                <w:szCs w:val="18"/>
              </w:rPr>
              <w:t>3679</w:t>
            </w:r>
          </w:p>
        </w:tc>
        <w:tc>
          <w:tcPr>
            <w:tcW w:w="920" w:type="dxa"/>
            <w:tcBorders>
              <w:top w:val="single" w:color="auto" w:sz="4" w:space="0"/>
              <w:left w:val="single" w:color="auto" w:sz="2" w:space="0"/>
              <w:right w:val="single" w:color="auto" w:sz="2" w:space="0"/>
              <w:tl2br w:val="nil"/>
              <w:tr2bl w:val="nil"/>
            </w:tcBorders>
            <w:vAlign w:val="center"/>
          </w:tcPr>
          <w:p w14:paraId="053FDC20">
            <w:pPr>
              <w:wordWrap w:val="0"/>
              <w:topLinePunct/>
              <w:ind w:firstLine="0" w:firstLineChars="0"/>
              <w:jc w:val="center"/>
              <w:rPr>
                <w:spacing w:val="-20"/>
                <w:sz w:val="18"/>
                <w:szCs w:val="18"/>
              </w:rPr>
            </w:pPr>
            <w:r>
              <w:rPr>
                <w:spacing w:val="-20"/>
                <w:sz w:val="18"/>
                <w:szCs w:val="18"/>
              </w:rPr>
              <w:t>3679</w:t>
            </w:r>
          </w:p>
        </w:tc>
        <w:tc>
          <w:tcPr>
            <w:tcW w:w="970" w:type="dxa"/>
            <w:tcBorders>
              <w:top w:val="single" w:color="auto" w:sz="4" w:space="0"/>
              <w:left w:val="single" w:color="auto" w:sz="2" w:space="0"/>
              <w:right w:val="single" w:color="auto" w:sz="2" w:space="0"/>
            </w:tcBorders>
            <w:vAlign w:val="center"/>
          </w:tcPr>
          <w:p w14:paraId="7DEC5B70">
            <w:pPr>
              <w:wordWrap w:val="0"/>
              <w:topLinePunct/>
              <w:ind w:firstLine="0" w:firstLineChars="0"/>
              <w:jc w:val="center"/>
              <w:rPr>
                <w:spacing w:val="-20"/>
                <w:sz w:val="18"/>
                <w:szCs w:val="18"/>
              </w:rPr>
            </w:pPr>
            <w:r>
              <w:rPr>
                <w:spacing w:val="-20"/>
                <w:sz w:val="18"/>
                <w:szCs w:val="18"/>
              </w:rPr>
              <w:t>3679</w:t>
            </w:r>
          </w:p>
        </w:tc>
        <w:tc>
          <w:tcPr>
            <w:tcW w:w="935" w:type="dxa"/>
            <w:tcBorders>
              <w:top w:val="single" w:color="auto" w:sz="4" w:space="0"/>
              <w:left w:val="single" w:color="auto" w:sz="2" w:space="0"/>
              <w:tl2br w:val="nil"/>
              <w:tr2bl w:val="nil"/>
            </w:tcBorders>
            <w:vAlign w:val="center"/>
          </w:tcPr>
          <w:p w14:paraId="6F7CD125">
            <w:pPr>
              <w:wordWrap w:val="0"/>
              <w:topLinePunct/>
              <w:ind w:firstLine="0" w:firstLineChars="0"/>
              <w:jc w:val="center"/>
              <w:rPr>
                <w:spacing w:val="-20"/>
                <w:sz w:val="18"/>
                <w:szCs w:val="18"/>
              </w:rPr>
            </w:pPr>
            <w:r>
              <w:rPr>
                <w:spacing w:val="-20"/>
                <w:sz w:val="18"/>
                <w:szCs w:val="18"/>
              </w:rPr>
              <w:t>3679</w:t>
            </w:r>
          </w:p>
        </w:tc>
      </w:tr>
    </w:tbl>
    <w:p w14:paraId="4C9B08AD">
      <w:pPr>
        <w:wordWrap w:val="0"/>
        <w:topLinePunct/>
        <w:spacing w:line="360" w:lineRule="auto"/>
        <w:ind w:firstLine="3108" w:firstLineChars="1400"/>
        <w:rPr>
          <w:rFonts w:eastAsia="黑体"/>
          <w:b/>
          <w:bCs/>
          <w:szCs w:val="21"/>
        </w:rPr>
      </w:pPr>
      <w:r>
        <w:rPr>
          <w:rFonts w:hint="eastAsia" w:ascii="黑体" w:hAnsi="黑体" w:eastAsia="黑体" w:cs="黑体"/>
          <w:szCs w:val="21"/>
        </w:rPr>
        <w:t>表</w:t>
      </w:r>
      <w:r>
        <w:rPr>
          <w:rFonts w:eastAsia="黑体"/>
          <w:szCs w:val="21"/>
        </w:rPr>
        <w:t>A</w:t>
      </w:r>
      <w:r>
        <w:rPr>
          <w:rFonts w:hint="eastAsia" w:eastAsia="黑体"/>
          <w:szCs w:val="21"/>
          <w:lang w:val="en-US" w:eastAsia="zh-CN"/>
        </w:rPr>
        <w:t>3</w:t>
      </w:r>
      <w:r>
        <w:rPr>
          <w:rFonts w:hint="eastAsia" w:eastAsia="黑体"/>
          <w:szCs w:val="21"/>
        </w:rPr>
        <w:t xml:space="preserve"> </w:t>
      </w:r>
      <w:r>
        <w:rPr>
          <w:rFonts w:ascii="黑体" w:hAnsi="黑体" w:eastAsia="黑体" w:cs="黑体"/>
          <w:szCs w:val="21"/>
        </w:rPr>
        <w:t>稳健性检验回归结果</w:t>
      </w:r>
    </w:p>
    <w:tbl>
      <w:tblPr>
        <w:tblStyle w:val="20"/>
        <w:tblW w:w="9748"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4"/>
        <w:gridCol w:w="1010"/>
        <w:gridCol w:w="981"/>
        <w:gridCol w:w="981"/>
        <w:gridCol w:w="934"/>
        <w:gridCol w:w="1150"/>
        <w:gridCol w:w="1100"/>
        <w:gridCol w:w="1070"/>
        <w:gridCol w:w="938"/>
      </w:tblGrid>
      <w:tr w14:paraId="2F67653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vMerge w:val="restart"/>
            <w:tcBorders>
              <w:right w:val="single" w:color="auto" w:sz="2" w:space="0"/>
              <w:tl2br w:val="nil"/>
              <w:tr2bl w:val="nil"/>
            </w:tcBorders>
            <w:vAlign w:val="center"/>
          </w:tcPr>
          <w:p w14:paraId="72A8AA90">
            <w:pPr>
              <w:topLinePunct/>
              <w:ind w:firstLine="0" w:firstLineChars="0"/>
              <w:jc w:val="center"/>
              <w:rPr>
                <w:sz w:val="18"/>
                <w:szCs w:val="18"/>
              </w:rPr>
            </w:pPr>
            <w:r>
              <w:rPr>
                <w:sz w:val="18"/>
                <w:szCs w:val="18"/>
              </w:rPr>
              <w:t>变量</w:t>
            </w:r>
          </w:p>
        </w:tc>
        <w:tc>
          <w:tcPr>
            <w:tcW w:w="1010" w:type="dxa"/>
            <w:tcBorders>
              <w:left w:val="single" w:color="auto" w:sz="2" w:space="0"/>
              <w:bottom w:val="single" w:color="auto" w:sz="2" w:space="0"/>
              <w:right w:val="single" w:color="auto" w:sz="2" w:space="0"/>
            </w:tcBorders>
            <w:vAlign w:val="center"/>
          </w:tcPr>
          <w:p w14:paraId="4BA44EB9">
            <w:pPr>
              <w:wordWrap w:val="0"/>
              <w:topLinePunct/>
              <w:spacing w:line="240" w:lineRule="exact"/>
              <w:ind w:firstLine="0" w:firstLineChars="0"/>
              <w:jc w:val="center"/>
              <w:rPr>
                <w:spacing w:val="-20"/>
                <w:sz w:val="18"/>
                <w:szCs w:val="18"/>
              </w:rPr>
            </w:pPr>
            <w:r>
              <w:rPr>
                <w:rFonts w:hint="eastAsia"/>
                <w:spacing w:val="-20"/>
                <w:sz w:val="18"/>
                <w:szCs w:val="18"/>
              </w:rPr>
              <w:t>1:2</w:t>
            </w:r>
          </w:p>
        </w:tc>
        <w:tc>
          <w:tcPr>
            <w:tcW w:w="981" w:type="dxa"/>
            <w:tcBorders>
              <w:left w:val="single" w:color="auto" w:sz="2" w:space="0"/>
              <w:bottom w:val="single" w:color="auto" w:sz="2" w:space="0"/>
              <w:right w:val="single" w:color="auto" w:sz="2" w:space="0"/>
            </w:tcBorders>
            <w:vAlign w:val="center"/>
          </w:tcPr>
          <w:p w14:paraId="796CE526">
            <w:pPr>
              <w:wordWrap w:val="0"/>
              <w:topLinePunct/>
              <w:spacing w:line="240" w:lineRule="exact"/>
              <w:ind w:firstLine="0" w:firstLineChars="0"/>
              <w:jc w:val="center"/>
              <w:rPr>
                <w:spacing w:val="-20"/>
                <w:sz w:val="18"/>
                <w:szCs w:val="18"/>
              </w:rPr>
            </w:pPr>
            <w:r>
              <w:rPr>
                <w:rFonts w:hint="eastAsia"/>
                <w:spacing w:val="-20"/>
                <w:sz w:val="18"/>
                <w:szCs w:val="18"/>
              </w:rPr>
              <w:t>1:7</w:t>
            </w:r>
          </w:p>
        </w:tc>
        <w:tc>
          <w:tcPr>
            <w:tcW w:w="981" w:type="dxa"/>
            <w:tcBorders>
              <w:left w:val="single" w:color="auto" w:sz="2" w:space="0"/>
              <w:bottom w:val="single" w:color="auto" w:sz="2" w:space="0"/>
              <w:right w:val="single" w:color="auto" w:sz="2" w:space="0"/>
            </w:tcBorders>
            <w:vAlign w:val="center"/>
          </w:tcPr>
          <w:p w14:paraId="619FC9C1">
            <w:pPr>
              <w:wordWrap w:val="0"/>
              <w:topLinePunct/>
              <w:spacing w:line="240" w:lineRule="exact"/>
              <w:ind w:firstLine="0" w:firstLineChars="0"/>
              <w:jc w:val="center"/>
              <w:rPr>
                <w:spacing w:val="-20"/>
                <w:sz w:val="18"/>
                <w:szCs w:val="18"/>
              </w:rPr>
            </w:pPr>
            <w:r>
              <w:rPr>
                <w:rFonts w:hint="eastAsia"/>
                <w:spacing w:val="-20"/>
                <w:sz w:val="18"/>
                <w:szCs w:val="18"/>
              </w:rPr>
              <w:t>套索回归</w:t>
            </w:r>
          </w:p>
        </w:tc>
        <w:tc>
          <w:tcPr>
            <w:tcW w:w="934" w:type="dxa"/>
            <w:tcBorders>
              <w:left w:val="single" w:color="auto" w:sz="2" w:space="0"/>
              <w:bottom w:val="single" w:color="auto" w:sz="2" w:space="0"/>
              <w:right w:val="single" w:color="auto" w:sz="2" w:space="0"/>
            </w:tcBorders>
            <w:vAlign w:val="center"/>
          </w:tcPr>
          <w:p w14:paraId="4A0BE121">
            <w:pPr>
              <w:wordWrap w:val="0"/>
              <w:topLinePunct/>
              <w:spacing w:line="240" w:lineRule="exact"/>
              <w:ind w:firstLine="0" w:firstLineChars="0"/>
              <w:jc w:val="center"/>
              <w:rPr>
                <w:spacing w:val="-20"/>
                <w:sz w:val="18"/>
                <w:szCs w:val="18"/>
              </w:rPr>
            </w:pPr>
            <w:r>
              <w:rPr>
                <w:rFonts w:hint="eastAsia"/>
                <w:spacing w:val="-20"/>
                <w:sz w:val="18"/>
                <w:szCs w:val="18"/>
              </w:rPr>
              <w:t>梯度提升</w:t>
            </w:r>
          </w:p>
        </w:tc>
        <w:tc>
          <w:tcPr>
            <w:tcW w:w="1150" w:type="dxa"/>
            <w:tcBorders>
              <w:left w:val="single" w:color="auto" w:sz="2" w:space="0"/>
              <w:bottom w:val="single" w:color="auto" w:sz="2" w:space="0"/>
              <w:right w:val="single" w:color="auto" w:sz="2" w:space="0"/>
            </w:tcBorders>
            <w:vAlign w:val="center"/>
          </w:tcPr>
          <w:p w14:paraId="44C89E08">
            <w:pPr>
              <w:wordWrap w:val="0"/>
              <w:topLinePunct/>
              <w:spacing w:line="240" w:lineRule="exact"/>
              <w:ind w:firstLine="0" w:firstLineChars="0"/>
              <w:jc w:val="center"/>
              <w:rPr>
                <w:spacing w:val="-20"/>
                <w:sz w:val="18"/>
                <w:szCs w:val="18"/>
              </w:rPr>
            </w:pPr>
            <w:r>
              <w:rPr>
                <w:rFonts w:hint="eastAsia"/>
                <w:spacing w:val="-20"/>
                <w:sz w:val="18"/>
                <w:szCs w:val="18"/>
              </w:rPr>
              <w:t>支持向量机</w:t>
            </w:r>
          </w:p>
        </w:tc>
        <w:tc>
          <w:tcPr>
            <w:tcW w:w="1100" w:type="dxa"/>
            <w:tcBorders>
              <w:left w:val="single" w:color="auto" w:sz="2" w:space="0"/>
              <w:bottom w:val="single" w:color="auto" w:sz="2" w:space="0"/>
              <w:right w:val="single" w:color="auto" w:sz="2" w:space="0"/>
            </w:tcBorders>
            <w:vAlign w:val="center"/>
          </w:tcPr>
          <w:p w14:paraId="5F637A16">
            <w:pPr>
              <w:wordWrap w:val="0"/>
              <w:topLinePunct/>
              <w:spacing w:line="240" w:lineRule="exact"/>
              <w:ind w:firstLine="0" w:firstLineChars="0"/>
              <w:jc w:val="center"/>
              <w:rPr>
                <w:spacing w:val="-20"/>
                <w:sz w:val="18"/>
                <w:szCs w:val="18"/>
              </w:rPr>
            </w:pPr>
            <w:r>
              <w:rPr>
                <w:rFonts w:hint="eastAsia"/>
                <w:spacing w:val="-20"/>
                <w:sz w:val="18"/>
                <w:szCs w:val="18"/>
              </w:rPr>
              <w:t>交互式模型</w:t>
            </w:r>
          </w:p>
        </w:tc>
        <w:tc>
          <w:tcPr>
            <w:tcW w:w="1070" w:type="dxa"/>
            <w:tcBorders>
              <w:left w:val="single" w:color="auto" w:sz="2" w:space="0"/>
              <w:bottom w:val="single" w:color="auto" w:sz="2" w:space="0"/>
              <w:right w:val="single" w:color="auto" w:sz="2" w:space="0"/>
            </w:tcBorders>
            <w:vAlign w:val="center"/>
          </w:tcPr>
          <w:p w14:paraId="064F8E63">
            <w:pPr>
              <w:wordWrap w:val="0"/>
              <w:topLinePunct/>
              <w:spacing w:line="240" w:lineRule="exact"/>
              <w:ind w:firstLine="0" w:firstLineChars="0"/>
              <w:jc w:val="center"/>
              <w:rPr>
                <w:spacing w:val="-20"/>
                <w:sz w:val="18"/>
                <w:szCs w:val="18"/>
              </w:rPr>
            </w:pPr>
            <w:r>
              <w:rPr>
                <w:rFonts w:hint="eastAsia"/>
                <w:spacing w:val="-20"/>
                <w:sz w:val="18"/>
                <w:szCs w:val="18"/>
              </w:rPr>
              <w:t>IV1</w:t>
            </w:r>
          </w:p>
        </w:tc>
        <w:tc>
          <w:tcPr>
            <w:tcW w:w="938" w:type="dxa"/>
            <w:tcBorders>
              <w:top w:val="single" w:color="auto" w:sz="8" w:space="0"/>
              <w:left w:val="single" w:color="auto" w:sz="2" w:space="0"/>
              <w:bottom w:val="single" w:color="auto" w:sz="2" w:space="0"/>
              <w:right w:val="nil"/>
            </w:tcBorders>
            <w:vAlign w:val="center"/>
          </w:tcPr>
          <w:p w14:paraId="35163120">
            <w:pPr>
              <w:wordWrap w:val="0"/>
              <w:topLinePunct/>
              <w:spacing w:line="240" w:lineRule="exact"/>
              <w:ind w:firstLine="0" w:firstLineChars="0"/>
              <w:jc w:val="center"/>
              <w:rPr>
                <w:spacing w:val="-20"/>
                <w:sz w:val="18"/>
                <w:szCs w:val="18"/>
              </w:rPr>
            </w:pPr>
            <w:r>
              <w:rPr>
                <w:rFonts w:hint="eastAsia"/>
                <w:spacing w:val="-20"/>
                <w:sz w:val="18"/>
                <w:szCs w:val="18"/>
              </w:rPr>
              <w:t>IV2</w:t>
            </w:r>
          </w:p>
        </w:tc>
      </w:tr>
      <w:tr w14:paraId="6CDFA88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vMerge w:val="continue"/>
            <w:tcBorders>
              <w:bottom w:val="single" w:color="auto" w:sz="4" w:space="0"/>
              <w:right w:val="single" w:color="auto" w:sz="2" w:space="0"/>
              <w:tl2br w:val="nil"/>
              <w:tr2bl w:val="nil"/>
            </w:tcBorders>
            <w:vAlign w:val="center"/>
          </w:tcPr>
          <w:p w14:paraId="2CA247CB">
            <w:pPr>
              <w:wordWrap w:val="0"/>
              <w:topLinePunct/>
              <w:ind w:firstLine="0" w:firstLineChars="0"/>
              <w:jc w:val="center"/>
              <w:rPr>
                <w:sz w:val="18"/>
                <w:szCs w:val="18"/>
              </w:rPr>
            </w:pPr>
          </w:p>
        </w:tc>
        <w:tc>
          <w:tcPr>
            <w:tcW w:w="1010" w:type="dxa"/>
            <w:tcBorders>
              <w:top w:val="single" w:color="auto" w:sz="2" w:space="0"/>
              <w:left w:val="single" w:color="auto" w:sz="2" w:space="0"/>
              <w:bottom w:val="single" w:color="auto" w:sz="2" w:space="0"/>
              <w:right w:val="single" w:color="auto" w:sz="2" w:space="0"/>
            </w:tcBorders>
            <w:vAlign w:val="center"/>
          </w:tcPr>
          <w:p w14:paraId="68A910A8">
            <w:pPr>
              <w:wordWrap w:val="0"/>
              <w:topLinePunct/>
              <w:spacing w:line="240" w:lineRule="exact"/>
              <w:ind w:firstLine="0" w:firstLineChars="0"/>
              <w:jc w:val="center"/>
              <w:rPr>
                <w:spacing w:val="-20"/>
                <w:sz w:val="18"/>
                <w:szCs w:val="18"/>
              </w:rPr>
            </w:pPr>
            <w:r>
              <w:rPr>
                <w:rFonts w:hint="eastAsia"/>
                <w:spacing w:val="-20"/>
                <w:sz w:val="18"/>
                <w:szCs w:val="18"/>
              </w:rPr>
              <w:t>（1）</w:t>
            </w:r>
          </w:p>
        </w:tc>
        <w:tc>
          <w:tcPr>
            <w:tcW w:w="981" w:type="dxa"/>
            <w:tcBorders>
              <w:top w:val="single" w:color="auto" w:sz="2" w:space="0"/>
              <w:left w:val="single" w:color="auto" w:sz="2" w:space="0"/>
              <w:bottom w:val="single" w:color="auto" w:sz="2" w:space="0"/>
              <w:right w:val="single" w:color="auto" w:sz="2" w:space="0"/>
            </w:tcBorders>
            <w:vAlign w:val="center"/>
          </w:tcPr>
          <w:p w14:paraId="38F0FC09">
            <w:pPr>
              <w:wordWrap w:val="0"/>
              <w:topLinePunct/>
              <w:spacing w:line="240" w:lineRule="exact"/>
              <w:ind w:firstLine="0" w:firstLineChars="0"/>
              <w:jc w:val="center"/>
              <w:rPr>
                <w:spacing w:val="-20"/>
                <w:sz w:val="18"/>
                <w:szCs w:val="18"/>
              </w:rPr>
            </w:pPr>
            <w:r>
              <w:rPr>
                <w:rFonts w:hint="eastAsia"/>
                <w:spacing w:val="-20"/>
                <w:sz w:val="18"/>
                <w:szCs w:val="18"/>
              </w:rPr>
              <w:t>（2）</w:t>
            </w:r>
          </w:p>
        </w:tc>
        <w:tc>
          <w:tcPr>
            <w:tcW w:w="981" w:type="dxa"/>
            <w:tcBorders>
              <w:top w:val="single" w:color="auto" w:sz="2" w:space="0"/>
              <w:left w:val="single" w:color="auto" w:sz="2" w:space="0"/>
              <w:bottom w:val="single" w:color="auto" w:sz="2" w:space="0"/>
              <w:right w:val="single" w:color="auto" w:sz="2" w:space="0"/>
            </w:tcBorders>
            <w:vAlign w:val="center"/>
          </w:tcPr>
          <w:p w14:paraId="1001BA8B">
            <w:pPr>
              <w:wordWrap w:val="0"/>
              <w:topLinePunct/>
              <w:spacing w:line="240" w:lineRule="exact"/>
              <w:ind w:firstLine="0" w:firstLineChars="0"/>
              <w:jc w:val="center"/>
              <w:rPr>
                <w:spacing w:val="-20"/>
                <w:sz w:val="18"/>
                <w:szCs w:val="18"/>
              </w:rPr>
            </w:pPr>
            <w:r>
              <w:rPr>
                <w:rFonts w:hint="eastAsia"/>
                <w:spacing w:val="-20"/>
                <w:sz w:val="18"/>
                <w:szCs w:val="18"/>
              </w:rPr>
              <w:t>（3）</w:t>
            </w:r>
          </w:p>
        </w:tc>
        <w:tc>
          <w:tcPr>
            <w:tcW w:w="934" w:type="dxa"/>
            <w:tcBorders>
              <w:top w:val="single" w:color="auto" w:sz="2" w:space="0"/>
              <w:left w:val="single" w:color="auto" w:sz="2" w:space="0"/>
              <w:bottom w:val="single" w:color="auto" w:sz="2" w:space="0"/>
              <w:right w:val="single" w:color="auto" w:sz="2" w:space="0"/>
            </w:tcBorders>
            <w:vAlign w:val="center"/>
          </w:tcPr>
          <w:p w14:paraId="2D5E0EBC">
            <w:pPr>
              <w:wordWrap w:val="0"/>
              <w:topLinePunct/>
              <w:spacing w:line="240" w:lineRule="exact"/>
              <w:ind w:firstLine="0" w:firstLineChars="0"/>
              <w:jc w:val="center"/>
              <w:rPr>
                <w:spacing w:val="-20"/>
                <w:sz w:val="18"/>
                <w:szCs w:val="18"/>
              </w:rPr>
            </w:pPr>
            <w:r>
              <w:rPr>
                <w:rFonts w:hint="eastAsia"/>
                <w:spacing w:val="-20"/>
                <w:sz w:val="18"/>
                <w:szCs w:val="18"/>
              </w:rPr>
              <w:t>（4）</w:t>
            </w:r>
          </w:p>
        </w:tc>
        <w:tc>
          <w:tcPr>
            <w:tcW w:w="1150" w:type="dxa"/>
            <w:tcBorders>
              <w:top w:val="single" w:color="auto" w:sz="2" w:space="0"/>
              <w:left w:val="single" w:color="auto" w:sz="2" w:space="0"/>
              <w:bottom w:val="single" w:color="auto" w:sz="2" w:space="0"/>
              <w:right w:val="single" w:color="auto" w:sz="2" w:space="0"/>
            </w:tcBorders>
            <w:vAlign w:val="center"/>
          </w:tcPr>
          <w:p w14:paraId="0C680A88">
            <w:pPr>
              <w:wordWrap w:val="0"/>
              <w:topLinePunct/>
              <w:spacing w:line="240" w:lineRule="exact"/>
              <w:ind w:firstLine="0" w:firstLineChars="0"/>
              <w:jc w:val="center"/>
              <w:rPr>
                <w:spacing w:val="-20"/>
                <w:sz w:val="18"/>
                <w:szCs w:val="18"/>
              </w:rPr>
            </w:pPr>
            <w:r>
              <w:rPr>
                <w:rFonts w:hint="eastAsia"/>
                <w:spacing w:val="-20"/>
                <w:sz w:val="18"/>
                <w:szCs w:val="18"/>
              </w:rPr>
              <w:t>（5）</w:t>
            </w:r>
          </w:p>
        </w:tc>
        <w:tc>
          <w:tcPr>
            <w:tcW w:w="1100" w:type="dxa"/>
            <w:tcBorders>
              <w:top w:val="single" w:color="auto" w:sz="2" w:space="0"/>
              <w:left w:val="single" w:color="auto" w:sz="2" w:space="0"/>
              <w:bottom w:val="single" w:color="auto" w:sz="2" w:space="0"/>
              <w:right w:val="single" w:color="auto" w:sz="2" w:space="0"/>
            </w:tcBorders>
            <w:vAlign w:val="center"/>
          </w:tcPr>
          <w:p w14:paraId="0E68BAC8">
            <w:pPr>
              <w:wordWrap w:val="0"/>
              <w:topLinePunct/>
              <w:spacing w:line="240" w:lineRule="exact"/>
              <w:ind w:firstLine="0" w:firstLineChars="0"/>
              <w:jc w:val="center"/>
              <w:rPr>
                <w:spacing w:val="-20"/>
                <w:sz w:val="18"/>
                <w:szCs w:val="18"/>
              </w:rPr>
            </w:pPr>
            <w:r>
              <w:rPr>
                <w:rFonts w:hint="eastAsia"/>
                <w:spacing w:val="-20"/>
                <w:sz w:val="18"/>
                <w:szCs w:val="18"/>
              </w:rPr>
              <w:t>（6）</w:t>
            </w:r>
          </w:p>
        </w:tc>
        <w:tc>
          <w:tcPr>
            <w:tcW w:w="1070" w:type="dxa"/>
            <w:tcBorders>
              <w:top w:val="single" w:color="auto" w:sz="2" w:space="0"/>
              <w:left w:val="single" w:color="auto" w:sz="2" w:space="0"/>
              <w:bottom w:val="single" w:color="auto" w:sz="2" w:space="0"/>
              <w:right w:val="single" w:color="auto" w:sz="2" w:space="0"/>
            </w:tcBorders>
            <w:vAlign w:val="center"/>
          </w:tcPr>
          <w:p w14:paraId="62D2470C">
            <w:pPr>
              <w:wordWrap w:val="0"/>
              <w:topLinePunct/>
              <w:spacing w:line="240" w:lineRule="exact"/>
              <w:ind w:firstLine="0" w:firstLineChars="0"/>
              <w:jc w:val="center"/>
              <w:rPr>
                <w:spacing w:val="-20"/>
                <w:sz w:val="18"/>
                <w:szCs w:val="18"/>
              </w:rPr>
            </w:pPr>
            <w:r>
              <w:rPr>
                <w:rFonts w:hint="eastAsia"/>
                <w:spacing w:val="-20"/>
                <w:sz w:val="18"/>
                <w:szCs w:val="18"/>
              </w:rPr>
              <w:t>（7）</w:t>
            </w:r>
          </w:p>
        </w:tc>
        <w:tc>
          <w:tcPr>
            <w:tcW w:w="938" w:type="dxa"/>
            <w:tcBorders>
              <w:top w:val="single" w:color="auto" w:sz="2" w:space="0"/>
              <w:left w:val="single" w:color="auto" w:sz="2" w:space="0"/>
              <w:bottom w:val="single" w:color="auto" w:sz="2" w:space="0"/>
              <w:right w:val="nil"/>
            </w:tcBorders>
            <w:vAlign w:val="center"/>
          </w:tcPr>
          <w:p w14:paraId="37FC80A2">
            <w:pPr>
              <w:wordWrap w:val="0"/>
              <w:topLinePunct/>
              <w:spacing w:line="240" w:lineRule="exact"/>
              <w:ind w:firstLine="0" w:firstLineChars="0"/>
              <w:jc w:val="center"/>
              <w:rPr>
                <w:spacing w:val="-20"/>
                <w:sz w:val="18"/>
                <w:szCs w:val="18"/>
              </w:rPr>
            </w:pPr>
            <w:r>
              <w:rPr>
                <w:rFonts w:hint="eastAsia"/>
                <w:spacing w:val="-20"/>
                <w:sz w:val="18"/>
                <w:szCs w:val="18"/>
              </w:rPr>
              <w:t>（8）</w:t>
            </w:r>
          </w:p>
        </w:tc>
      </w:tr>
      <w:tr w14:paraId="1983824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1584" w:type="dxa"/>
            <w:tcBorders>
              <w:top w:val="single" w:color="auto" w:sz="4" w:space="0"/>
              <w:right w:val="single" w:color="auto" w:sz="2" w:space="0"/>
            </w:tcBorders>
            <w:vAlign w:val="center"/>
          </w:tcPr>
          <w:p w14:paraId="5B524A64">
            <w:pPr>
              <w:wordWrap w:val="0"/>
              <w:topLinePunct/>
              <w:ind w:firstLine="0" w:firstLineChars="0"/>
              <w:jc w:val="left"/>
              <w:rPr>
                <w:sz w:val="18"/>
                <w:szCs w:val="18"/>
              </w:rPr>
            </w:pPr>
            <w:r>
              <w:rPr>
                <w:sz w:val="18"/>
                <w:szCs w:val="18"/>
              </w:rPr>
              <w:t>Bigdata</w:t>
            </w:r>
          </w:p>
        </w:tc>
        <w:tc>
          <w:tcPr>
            <w:tcW w:w="1010" w:type="dxa"/>
            <w:tcBorders>
              <w:top w:val="single" w:color="auto" w:sz="2" w:space="0"/>
              <w:left w:val="single" w:color="auto" w:sz="2" w:space="0"/>
              <w:bottom w:val="nil"/>
              <w:right w:val="single" w:color="auto" w:sz="2" w:space="0"/>
            </w:tcBorders>
            <w:vAlign w:val="center"/>
          </w:tcPr>
          <w:p w14:paraId="7EFCD370">
            <w:pPr>
              <w:wordWrap w:val="0"/>
              <w:topLinePunct/>
              <w:spacing w:line="240" w:lineRule="exact"/>
              <w:ind w:firstLine="0" w:firstLineChars="0"/>
              <w:jc w:val="center"/>
              <w:rPr>
                <w:spacing w:val="-20"/>
                <w:sz w:val="18"/>
                <w:szCs w:val="18"/>
              </w:rPr>
            </w:pPr>
            <w:r>
              <w:rPr>
                <w:rFonts w:hint="eastAsia"/>
                <w:spacing w:val="-20"/>
                <w:sz w:val="18"/>
                <w:szCs w:val="18"/>
              </w:rPr>
              <w:t>0.0252***</w:t>
            </w:r>
          </w:p>
          <w:p w14:paraId="44486C38">
            <w:pPr>
              <w:wordWrap w:val="0"/>
              <w:topLinePunct/>
              <w:spacing w:line="240" w:lineRule="exact"/>
              <w:ind w:firstLine="0" w:firstLineChars="0"/>
              <w:jc w:val="center"/>
              <w:rPr>
                <w:spacing w:val="-20"/>
                <w:sz w:val="18"/>
                <w:szCs w:val="18"/>
              </w:rPr>
            </w:pPr>
            <w:r>
              <w:rPr>
                <w:rFonts w:hint="eastAsia"/>
                <w:spacing w:val="-20"/>
                <w:sz w:val="18"/>
                <w:szCs w:val="18"/>
              </w:rPr>
              <w:t>(0.0030)</w:t>
            </w:r>
          </w:p>
        </w:tc>
        <w:tc>
          <w:tcPr>
            <w:tcW w:w="981" w:type="dxa"/>
            <w:tcBorders>
              <w:top w:val="single" w:color="auto" w:sz="2" w:space="0"/>
              <w:left w:val="single" w:color="auto" w:sz="2" w:space="0"/>
              <w:bottom w:val="nil"/>
              <w:right w:val="single" w:color="auto" w:sz="2" w:space="0"/>
            </w:tcBorders>
            <w:vAlign w:val="center"/>
          </w:tcPr>
          <w:p w14:paraId="296C75FD">
            <w:pPr>
              <w:wordWrap w:val="0"/>
              <w:topLinePunct/>
              <w:spacing w:line="240" w:lineRule="exact"/>
              <w:ind w:firstLine="0" w:firstLineChars="0"/>
              <w:jc w:val="center"/>
              <w:rPr>
                <w:spacing w:val="-20"/>
                <w:sz w:val="18"/>
                <w:szCs w:val="18"/>
              </w:rPr>
            </w:pPr>
            <w:r>
              <w:rPr>
                <w:rFonts w:hint="eastAsia"/>
                <w:spacing w:val="-20"/>
                <w:sz w:val="18"/>
                <w:szCs w:val="18"/>
              </w:rPr>
              <w:t>0.0290***</w:t>
            </w:r>
          </w:p>
          <w:p w14:paraId="40F735FD">
            <w:pPr>
              <w:wordWrap w:val="0"/>
              <w:topLinePunct/>
              <w:spacing w:line="240" w:lineRule="exact"/>
              <w:ind w:firstLine="0" w:firstLineChars="0"/>
              <w:jc w:val="center"/>
              <w:rPr>
                <w:spacing w:val="-20"/>
                <w:sz w:val="18"/>
                <w:szCs w:val="18"/>
              </w:rPr>
            </w:pPr>
            <w:r>
              <w:rPr>
                <w:rFonts w:hint="eastAsia"/>
                <w:spacing w:val="-20"/>
                <w:sz w:val="18"/>
                <w:szCs w:val="18"/>
              </w:rPr>
              <w:t>(0.0038)</w:t>
            </w:r>
          </w:p>
        </w:tc>
        <w:tc>
          <w:tcPr>
            <w:tcW w:w="981" w:type="dxa"/>
            <w:tcBorders>
              <w:top w:val="single" w:color="auto" w:sz="2" w:space="0"/>
              <w:left w:val="single" w:color="auto" w:sz="2" w:space="0"/>
              <w:bottom w:val="nil"/>
              <w:right w:val="single" w:color="auto" w:sz="2" w:space="0"/>
            </w:tcBorders>
            <w:vAlign w:val="center"/>
          </w:tcPr>
          <w:p w14:paraId="66DF04E6">
            <w:pPr>
              <w:wordWrap w:val="0"/>
              <w:topLinePunct/>
              <w:spacing w:line="240" w:lineRule="exact"/>
              <w:ind w:firstLine="0" w:firstLineChars="0"/>
              <w:jc w:val="center"/>
              <w:rPr>
                <w:spacing w:val="-20"/>
                <w:sz w:val="18"/>
                <w:szCs w:val="18"/>
              </w:rPr>
            </w:pPr>
            <w:r>
              <w:rPr>
                <w:rFonts w:hint="eastAsia"/>
                <w:spacing w:val="-20"/>
                <w:sz w:val="18"/>
                <w:szCs w:val="18"/>
              </w:rPr>
              <w:t>0.0091***</w:t>
            </w:r>
          </w:p>
          <w:p w14:paraId="14CBCB2B">
            <w:pPr>
              <w:wordWrap w:val="0"/>
              <w:topLinePunct/>
              <w:spacing w:line="240" w:lineRule="exact"/>
              <w:ind w:firstLine="0" w:firstLineChars="0"/>
              <w:jc w:val="center"/>
              <w:rPr>
                <w:spacing w:val="-20"/>
                <w:sz w:val="18"/>
                <w:szCs w:val="18"/>
              </w:rPr>
            </w:pPr>
            <w:r>
              <w:rPr>
                <w:rFonts w:hint="eastAsia"/>
                <w:spacing w:val="-20"/>
                <w:sz w:val="18"/>
                <w:szCs w:val="18"/>
              </w:rPr>
              <w:t>(0.0015)</w:t>
            </w:r>
          </w:p>
        </w:tc>
        <w:tc>
          <w:tcPr>
            <w:tcW w:w="934" w:type="dxa"/>
            <w:tcBorders>
              <w:top w:val="single" w:color="auto" w:sz="2" w:space="0"/>
              <w:left w:val="single" w:color="auto" w:sz="2" w:space="0"/>
              <w:bottom w:val="nil"/>
              <w:right w:val="single" w:color="auto" w:sz="2" w:space="0"/>
            </w:tcBorders>
            <w:vAlign w:val="center"/>
          </w:tcPr>
          <w:p w14:paraId="693DDB67">
            <w:pPr>
              <w:wordWrap w:val="0"/>
              <w:topLinePunct/>
              <w:spacing w:line="240" w:lineRule="exact"/>
              <w:ind w:firstLine="0" w:firstLineChars="0"/>
              <w:jc w:val="center"/>
              <w:rPr>
                <w:spacing w:val="-20"/>
                <w:sz w:val="18"/>
                <w:szCs w:val="18"/>
              </w:rPr>
            </w:pPr>
            <w:r>
              <w:rPr>
                <w:rFonts w:hint="eastAsia"/>
                <w:spacing w:val="-20"/>
                <w:sz w:val="18"/>
                <w:szCs w:val="18"/>
              </w:rPr>
              <w:t>0.0261***</w:t>
            </w:r>
          </w:p>
          <w:p w14:paraId="0516F3C2">
            <w:pPr>
              <w:wordWrap w:val="0"/>
              <w:topLinePunct/>
              <w:spacing w:line="240" w:lineRule="exact"/>
              <w:ind w:firstLine="0" w:firstLineChars="0"/>
              <w:jc w:val="center"/>
              <w:rPr>
                <w:spacing w:val="-20"/>
                <w:sz w:val="18"/>
                <w:szCs w:val="18"/>
              </w:rPr>
            </w:pPr>
            <w:r>
              <w:rPr>
                <w:rFonts w:hint="eastAsia"/>
                <w:spacing w:val="-20"/>
                <w:sz w:val="18"/>
                <w:szCs w:val="18"/>
              </w:rPr>
              <w:t>(0.0023)</w:t>
            </w:r>
          </w:p>
        </w:tc>
        <w:tc>
          <w:tcPr>
            <w:tcW w:w="1150" w:type="dxa"/>
            <w:tcBorders>
              <w:top w:val="single" w:color="auto" w:sz="2" w:space="0"/>
              <w:left w:val="single" w:color="auto" w:sz="2" w:space="0"/>
              <w:bottom w:val="nil"/>
              <w:right w:val="single" w:color="auto" w:sz="2" w:space="0"/>
            </w:tcBorders>
            <w:vAlign w:val="center"/>
          </w:tcPr>
          <w:p w14:paraId="5C921E2F">
            <w:pPr>
              <w:wordWrap w:val="0"/>
              <w:topLinePunct/>
              <w:spacing w:line="240" w:lineRule="exact"/>
              <w:ind w:firstLine="0" w:firstLineChars="0"/>
              <w:jc w:val="center"/>
              <w:rPr>
                <w:spacing w:val="-20"/>
                <w:sz w:val="18"/>
                <w:szCs w:val="18"/>
              </w:rPr>
            </w:pPr>
            <w:r>
              <w:rPr>
                <w:rFonts w:hint="eastAsia"/>
                <w:spacing w:val="-20"/>
                <w:sz w:val="18"/>
                <w:szCs w:val="18"/>
              </w:rPr>
              <w:t>0.0316***</w:t>
            </w:r>
          </w:p>
          <w:p w14:paraId="6C9CE091">
            <w:pPr>
              <w:wordWrap w:val="0"/>
              <w:topLinePunct/>
              <w:spacing w:line="240" w:lineRule="exact"/>
              <w:ind w:firstLine="0" w:firstLineChars="0"/>
              <w:jc w:val="center"/>
              <w:rPr>
                <w:spacing w:val="-20"/>
                <w:sz w:val="18"/>
                <w:szCs w:val="18"/>
              </w:rPr>
            </w:pPr>
            <w:r>
              <w:rPr>
                <w:rFonts w:hint="eastAsia"/>
                <w:spacing w:val="-20"/>
                <w:sz w:val="18"/>
                <w:szCs w:val="18"/>
              </w:rPr>
              <w:t>(0.0022)</w:t>
            </w:r>
          </w:p>
        </w:tc>
        <w:tc>
          <w:tcPr>
            <w:tcW w:w="1100" w:type="dxa"/>
            <w:tcBorders>
              <w:top w:val="single" w:color="auto" w:sz="2" w:space="0"/>
              <w:left w:val="single" w:color="auto" w:sz="2" w:space="0"/>
              <w:bottom w:val="nil"/>
              <w:right w:val="single" w:color="auto" w:sz="2" w:space="0"/>
            </w:tcBorders>
            <w:vAlign w:val="center"/>
          </w:tcPr>
          <w:p w14:paraId="595FFF4E">
            <w:pPr>
              <w:wordWrap w:val="0"/>
              <w:topLinePunct/>
              <w:spacing w:line="240" w:lineRule="exact"/>
              <w:ind w:firstLine="0" w:firstLineChars="0"/>
              <w:jc w:val="center"/>
              <w:rPr>
                <w:spacing w:val="-20"/>
                <w:sz w:val="18"/>
                <w:szCs w:val="18"/>
              </w:rPr>
            </w:pPr>
            <w:r>
              <w:rPr>
                <w:rFonts w:hint="eastAsia"/>
                <w:spacing w:val="-20"/>
                <w:sz w:val="18"/>
                <w:szCs w:val="18"/>
              </w:rPr>
              <w:t>0.0268***</w:t>
            </w:r>
          </w:p>
          <w:p w14:paraId="52D22B13">
            <w:pPr>
              <w:wordWrap w:val="0"/>
              <w:topLinePunct/>
              <w:spacing w:line="240" w:lineRule="exact"/>
              <w:ind w:firstLine="0" w:firstLineChars="0"/>
              <w:jc w:val="center"/>
              <w:rPr>
                <w:spacing w:val="-20"/>
                <w:sz w:val="18"/>
                <w:szCs w:val="18"/>
              </w:rPr>
            </w:pPr>
            <w:r>
              <w:rPr>
                <w:rFonts w:hint="eastAsia"/>
                <w:spacing w:val="-20"/>
                <w:sz w:val="18"/>
                <w:szCs w:val="18"/>
              </w:rPr>
              <w:t>(0.0010)</w:t>
            </w:r>
          </w:p>
        </w:tc>
        <w:tc>
          <w:tcPr>
            <w:tcW w:w="1070" w:type="dxa"/>
            <w:tcBorders>
              <w:top w:val="single" w:color="auto" w:sz="2" w:space="0"/>
              <w:left w:val="single" w:color="auto" w:sz="2" w:space="0"/>
              <w:bottom w:val="nil"/>
              <w:right w:val="single" w:color="auto" w:sz="2" w:space="0"/>
            </w:tcBorders>
            <w:vAlign w:val="center"/>
          </w:tcPr>
          <w:p w14:paraId="63CB6CA4">
            <w:pPr>
              <w:wordWrap w:val="0"/>
              <w:topLinePunct/>
              <w:spacing w:line="240" w:lineRule="exact"/>
              <w:ind w:firstLine="0" w:firstLineChars="0"/>
              <w:jc w:val="center"/>
              <w:rPr>
                <w:spacing w:val="-20"/>
                <w:sz w:val="18"/>
                <w:szCs w:val="18"/>
              </w:rPr>
            </w:pPr>
            <w:r>
              <w:rPr>
                <w:rFonts w:hint="eastAsia"/>
                <w:spacing w:val="-20"/>
                <w:sz w:val="18"/>
                <w:szCs w:val="18"/>
              </w:rPr>
              <w:t>0.4625**</w:t>
            </w:r>
          </w:p>
          <w:p w14:paraId="0E13A945">
            <w:pPr>
              <w:wordWrap w:val="0"/>
              <w:topLinePunct/>
              <w:spacing w:line="240" w:lineRule="exact"/>
              <w:ind w:firstLine="0" w:firstLineChars="0"/>
              <w:jc w:val="center"/>
              <w:rPr>
                <w:spacing w:val="-20"/>
                <w:sz w:val="18"/>
                <w:szCs w:val="18"/>
              </w:rPr>
            </w:pPr>
            <w:r>
              <w:rPr>
                <w:rFonts w:hint="eastAsia"/>
                <w:spacing w:val="-20"/>
                <w:sz w:val="18"/>
                <w:szCs w:val="18"/>
              </w:rPr>
              <w:t>(0.1869)</w:t>
            </w:r>
          </w:p>
        </w:tc>
        <w:tc>
          <w:tcPr>
            <w:tcW w:w="938" w:type="dxa"/>
            <w:tcBorders>
              <w:top w:val="single" w:color="auto" w:sz="2" w:space="0"/>
              <w:left w:val="single" w:color="auto" w:sz="2" w:space="0"/>
              <w:bottom w:val="nil"/>
              <w:right w:val="nil"/>
            </w:tcBorders>
            <w:vAlign w:val="center"/>
          </w:tcPr>
          <w:p w14:paraId="23517FCE">
            <w:pPr>
              <w:wordWrap w:val="0"/>
              <w:topLinePunct/>
              <w:spacing w:line="240" w:lineRule="exact"/>
              <w:ind w:firstLine="0" w:firstLineChars="0"/>
              <w:jc w:val="center"/>
              <w:rPr>
                <w:spacing w:val="-20"/>
                <w:sz w:val="18"/>
                <w:szCs w:val="18"/>
              </w:rPr>
            </w:pPr>
            <w:r>
              <w:rPr>
                <w:rFonts w:hint="eastAsia"/>
                <w:spacing w:val="-20"/>
                <w:sz w:val="18"/>
                <w:szCs w:val="18"/>
              </w:rPr>
              <w:t>0.3815***</w:t>
            </w:r>
          </w:p>
          <w:p w14:paraId="08A0BD1C">
            <w:pPr>
              <w:wordWrap w:val="0"/>
              <w:topLinePunct/>
              <w:spacing w:line="240" w:lineRule="exact"/>
              <w:ind w:firstLine="0" w:firstLineChars="0"/>
              <w:jc w:val="center"/>
              <w:rPr>
                <w:spacing w:val="-20"/>
                <w:sz w:val="18"/>
                <w:szCs w:val="18"/>
              </w:rPr>
            </w:pPr>
            <w:r>
              <w:rPr>
                <w:rFonts w:hint="eastAsia"/>
                <w:spacing w:val="-20"/>
                <w:sz w:val="18"/>
                <w:szCs w:val="18"/>
              </w:rPr>
              <w:t>(0.0579)</w:t>
            </w:r>
          </w:p>
        </w:tc>
      </w:tr>
      <w:tr w14:paraId="4C7800F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tcBorders>
              <w:right w:val="single" w:color="auto" w:sz="2" w:space="0"/>
              <w:tl2br w:val="nil"/>
              <w:tr2bl w:val="nil"/>
            </w:tcBorders>
            <w:vAlign w:val="center"/>
          </w:tcPr>
          <w:p w14:paraId="6529FD50">
            <w:pPr>
              <w:widowControl/>
              <w:spacing w:before="60" w:after="60"/>
              <w:ind w:firstLine="0" w:firstLineChars="0"/>
              <w:jc w:val="left"/>
              <w:rPr>
                <w:rFonts w:eastAsia="楷体"/>
                <w:kern w:val="0"/>
                <w:sz w:val="18"/>
                <w:szCs w:val="18"/>
              </w:rPr>
            </w:pPr>
            <w:r>
              <w:rPr>
                <w:rFonts w:hint="eastAsia" w:eastAsia="楷体"/>
                <w:kern w:val="0"/>
                <w:sz w:val="18"/>
                <w:szCs w:val="18"/>
              </w:rPr>
              <w:t>控制变量一次项</w:t>
            </w:r>
          </w:p>
        </w:tc>
        <w:tc>
          <w:tcPr>
            <w:tcW w:w="1010" w:type="dxa"/>
            <w:tcBorders>
              <w:top w:val="nil"/>
              <w:left w:val="single" w:color="auto" w:sz="2" w:space="0"/>
              <w:bottom w:val="nil"/>
              <w:right w:val="single" w:color="auto" w:sz="2" w:space="0"/>
            </w:tcBorders>
            <w:vAlign w:val="center"/>
          </w:tcPr>
          <w:p w14:paraId="16E7DB4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57D3036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5535BE56">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4" w:type="dxa"/>
            <w:tcBorders>
              <w:top w:val="nil"/>
              <w:left w:val="single" w:color="auto" w:sz="2" w:space="0"/>
              <w:bottom w:val="nil"/>
              <w:right w:val="single" w:color="auto" w:sz="2" w:space="0"/>
            </w:tcBorders>
            <w:vAlign w:val="center"/>
          </w:tcPr>
          <w:p w14:paraId="09D3CD20">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50" w:type="dxa"/>
            <w:tcBorders>
              <w:top w:val="nil"/>
              <w:left w:val="single" w:color="auto" w:sz="2" w:space="0"/>
              <w:bottom w:val="nil"/>
              <w:right w:val="single" w:color="auto" w:sz="2" w:space="0"/>
            </w:tcBorders>
            <w:vAlign w:val="center"/>
          </w:tcPr>
          <w:p w14:paraId="1D70FCF9">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00" w:type="dxa"/>
            <w:tcBorders>
              <w:top w:val="nil"/>
              <w:left w:val="single" w:color="auto" w:sz="2" w:space="0"/>
              <w:bottom w:val="nil"/>
              <w:right w:val="single" w:color="auto" w:sz="2" w:space="0"/>
            </w:tcBorders>
            <w:vAlign w:val="center"/>
          </w:tcPr>
          <w:p w14:paraId="12A5A6B7">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70" w:type="dxa"/>
            <w:tcBorders>
              <w:top w:val="nil"/>
              <w:left w:val="single" w:color="auto" w:sz="2" w:space="0"/>
              <w:bottom w:val="nil"/>
              <w:right w:val="single" w:color="auto" w:sz="2" w:space="0"/>
            </w:tcBorders>
            <w:vAlign w:val="center"/>
          </w:tcPr>
          <w:p w14:paraId="77F96E2E">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8" w:type="dxa"/>
            <w:tcBorders>
              <w:top w:val="nil"/>
              <w:left w:val="single" w:color="auto" w:sz="2" w:space="0"/>
              <w:bottom w:val="nil"/>
              <w:right w:val="nil"/>
            </w:tcBorders>
            <w:vAlign w:val="center"/>
          </w:tcPr>
          <w:p w14:paraId="3704C14A">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0DB1942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tcBorders>
              <w:right w:val="single" w:color="auto" w:sz="2" w:space="0"/>
              <w:tl2br w:val="nil"/>
              <w:tr2bl w:val="nil"/>
            </w:tcBorders>
            <w:vAlign w:val="center"/>
          </w:tcPr>
          <w:p w14:paraId="32CA99DE">
            <w:pPr>
              <w:widowControl/>
              <w:spacing w:before="60" w:after="60"/>
              <w:ind w:firstLine="0" w:firstLineChars="0"/>
              <w:jc w:val="left"/>
              <w:rPr>
                <w:rFonts w:eastAsia="楷体"/>
                <w:kern w:val="0"/>
                <w:sz w:val="18"/>
                <w:szCs w:val="18"/>
              </w:rPr>
            </w:pPr>
            <w:r>
              <w:rPr>
                <w:rFonts w:hint="eastAsia" w:eastAsia="楷体"/>
                <w:kern w:val="0"/>
                <w:sz w:val="18"/>
                <w:szCs w:val="18"/>
              </w:rPr>
              <w:t>控制变量二次项</w:t>
            </w:r>
          </w:p>
        </w:tc>
        <w:tc>
          <w:tcPr>
            <w:tcW w:w="1010" w:type="dxa"/>
            <w:tcBorders>
              <w:top w:val="nil"/>
              <w:left w:val="single" w:color="auto" w:sz="2" w:space="0"/>
              <w:bottom w:val="nil"/>
              <w:right w:val="single" w:color="auto" w:sz="2" w:space="0"/>
            </w:tcBorders>
            <w:vAlign w:val="center"/>
          </w:tcPr>
          <w:p w14:paraId="217D96B8">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6A0BC5BE">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60ADED0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4" w:type="dxa"/>
            <w:tcBorders>
              <w:top w:val="nil"/>
              <w:left w:val="single" w:color="auto" w:sz="2" w:space="0"/>
              <w:bottom w:val="nil"/>
              <w:right w:val="single" w:color="auto" w:sz="2" w:space="0"/>
            </w:tcBorders>
            <w:vAlign w:val="center"/>
          </w:tcPr>
          <w:p w14:paraId="0B6A172F">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50" w:type="dxa"/>
            <w:tcBorders>
              <w:top w:val="nil"/>
              <w:left w:val="single" w:color="auto" w:sz="2" w:space="0"/>
              <w:bottom w:val="nil"/>
              <w:right w:val="single" w:color="auto" w:sz="2" w:space="0"/>
            </w:tcBorders>
            <w:vAlign w:val="center"/>
          </w:tcPr>
          <w:p w14:paraId="0008150F">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00" w:type="dxa"/>
            <w:tcBorders>
              <w:top w:val="nil"/>
              <w:left w:val="single" w:color="auto" w:sz="2" w:space="0"/>
              <w:bottom w:val="nil"/>
              <w:right w:val="single" w:color="auto" w:sz="2" w:space="0"/>
            </w:tcBorders>
            <w:vAlign w:val="center"/>
          </w:tcPr>
          <w:p w14:paraId="511C8FA7">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70" w:type="dxa"/>
            <w:tcBorders>
              <w:top w:val="nil"/>
              <w:left w:val="single" w:color="auto" w:sz="2" w:space="0"/>
              <w:bottom w:val="nil"/>
              <w:right w:val="single" w:color="auto" w:sz="2" w:space="0"/>
            </w:tcBorders>
            <w:vAlign w:val="center"/>
          </w:tcPr>
          <w:p w14:paraId="4FBFE424">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8" w:type="dxa"/>
            <w:tcBorders>
              <w:top w:val="nil"/>
              <w:left w:val="single" w:color="auto" w:sz="2" w:space="0"/>
              <w:bottom w:val="nil"/>
              <w:right w:val="nil"/>
            </w:tcBorders>
            <w:vAlign w:val="center"/>
          </w:tcPr>
          <w:p w14:paraId="0FA024D4">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5A8BF43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tcBorders>
              <w:right w:val="single" w:color="auto" w:sz="2" w:space="0"/>
              <w:tl2br w:val="nil"/>
              <w:tr2bl w:val="nil"/>
            </w:tcBorders>
            <w:vAlign w:val="center"/>
          </w:tcPr>
          <w:p w14:paraId="708CC240">
            <w:pPr>
              <w:widowControl/>
              <w:spacing w:before="60" w:after="60"/>
              <w:ind w:firstLine="0" w:firstLineChars="0"/>
              <w:jc w:val="left"/>
              <w:rPr>
                <w:rFonts w:eastAsia="楷体"/>
                <w:kern w:val="0"/>
                <w:sz w:val="18"/>
                <w:szCs w:val="18"/>
              </w:rPr>
            </w:pPr>
            <w:r>
              <w:rPr>
                <w:rFonts w:hint="eastAsia" w:eastAsia="楷体"/>
                <w:kern w:val="0"/>
                <w:sz w:val="18"/>
                <w:szCs w:val="18"/>
              </w:rPr>
              <w:t>年份固定效应</w:t>
            </w:r>
          </w:p>
        </w:tc>
        <w:tc>
          <w:tcPr>
            <w:tcW w:w="1010" w:type="dxa"/>
            <w:tcBorders>
              <w:top w:val="nil"/>
              <w:left w:val="single" w:color="auto" w:sz="2" w:space="0"/>
              <w:bottom w:val="nil"/>
              <w:right w:val="single" w:color="auto" w:sz="2" w:space="0"/>
            </w:tcBorders>
            <w:vAlign w:val="center"/>
          </w:tcPr>
          <w:p w14:paraId="630512A6">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54A95ED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nil"/>
              <w:right w:val="single" w:color="auto" w:sz="2" w:space="0"/>
            </w:tcBorders>
            <w:vAlign w:val="center"/>
          </w:tcPr>
          <w:p w14:paraId="00A76314">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4" w:type="dxa"/>
            <w:tcBorders>
              <w:top w:val="nil"/>
              <w:left w:val="single" w:color="auto" w:sz="2" w:space="0"/>
              <w:bottom w:val="nil"/>
              <w:right w:val="single" w:color="auto" w:sz="2" w:space="0"/>
            </w:tcBorders>
            <w:vAlign w:val="center"/>
          </w:tcPr>
          <w:p w14:paraId="3090A00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50" w:type="dxa"/>
            <w:tcBorders>
              <w:top w:val="nil"/>
              <w:left w:val="single" w:color="auto" w:sz="2" w:space="0"/>
              <w:bottom w:val="nil"/>
              <w:right w:val="single" w:color="auto" w:sz="2" w:space="0"/>
            </w:tcBorders>
            <w:vAlign w:val="center"/>
          </w:tcPr>
          <w:p w14:paraId="3757008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00" w:type="dxa"/>
            <w:tcBorders>
              <w:top w:val="nil"/>
              <w:left w:val="single" w:color="auto" w:sz="2" w:space="0"/>
              <w:bottom w:val="nil"/>
              <w:right w:val="single" w:color="auto" w:sz="2" w:space="0"/>
            </w:tcBorders>
            <w:vAlign w:val="center"/>
          </w:tcPr>
          <w:p w14:paraId="1FBB5EC5">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70" w:type="dxa"/>
            <w:tcBorders>
              <w:top w:val="nil"/>
              <w:left w:val="single" w:color="auto" w:sz="2" w:space="0"/>
              <w:bottom w:val="nil"/>
              <w:right w:val="single" w:color="auto" w:sz="2" w:space="0"/>
            </w:tcBorders>
            <w:vAlign w:val="center"/>
          </w:tcPr>
          <w:p w14:paraId="722F7E22">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8" w:type="dxa"/>
            <w:tcBorders>
              <w:top w:val="nil"/>
              <w:left w:val="single" w:color="auto" w:sz="2" w:space="0"/>
              <w:bottom w:val="nil"/>
              <w:right w:val="nil"/>
            </w:tcBorders>
            <w:vAlign w:val="center"/>
          </w:tcPr>
          <w:p w14:paraId="2306E500">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0AB6593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tcBorders>
              <w:bottom w:val="single" w:color="auto" w:sz="4" w:space="0"/>
              <w:right w:val="single" w:color="auto" w:sz="2" w:space="0"/>
              <w:tl2br w:val="nil"/>
              <w:tr2bl w:val="nil"/>
            </w:tcBorders>
            <w:vAlign w:val="center"/>
          </w:tcPr>
          <w:p w14:paraId="462492D5">
            <w:pPr>
              <w:widowControl/>
              <w:spacing w:before="60" w:after="60"/>
              <w:ind w:firstLine="0" w:firstLineChars="0"/>
              <w:jc w:val="left"/>
              <w:rPr>
                <w:rFonts w:eastAsia="楷体"/>
                <w:kern w:val="0"/>
                <w:sz w:val="18"/>
                <w:szCs w:val="18"/>
              </w:rPr>
            </w:pPr>
            <w:r>
              <w:rPr>
                <w:rFonts w:hint="eastAsia" w:eastAsia="楷体"/>
                <w:kern w:val="0"/>
                <w:sz w:val="18"/>
                <w:szCs w:val="18"/>
              </w:rPr>
              <w:t>城市固定效应</w:t>
            </w:r>
          </w:p>
        </w:tc>
        <w:tc>
          <w:tcPr>
            <w:tcW w:w="1010" w:type="dxa"/>
            <w:tcBorders>
              <w:top w:val="nil"/>
              <w:left w:val="single" w:color="auto" w:sz="2" w:space="0"/>
              <w:bottom w:val="single" w:color="auto" w:sz="4" w:space="0"/>
              <w:right w:val="single" w:color="auto" w:sz="2" w:space="0"/>
            </w:tcBorders>
            <w:vAlign w:val="center"/>
          </w:tcPr>
          <w:p w14:paraId="0421DFB5">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single" w:color="auto" w:sz="4" w:space="0"/>
              <w:right w:val="single" w:color="auto" w:sz="2" w:space="0"/>
            </w:tcBorders>
            <w:vAlign w:val="center"/>
          </w:tcPr>
          <w:p w14:paraId="228FCC91">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81" w:type="dxa"/>
            <w:tcBorders>
              <w:top w:val="nil"/>
              <w:left w:val="single" w:color="auto" w:sz="2" w:space="0"/>
              <w:bottom w:val="single" w:color="auto" w:sz="4" w:space="0"/>
              <w:right w:val="single" w:color="auto" w:sz="2" w:space="0"/>
            </w:tcBorders>
            <w:vAlign w:val="center"/>
          </w:tcPr>
          <w:p w14:paraId="01A797CB">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4" w:type="dxa"/>
            <w:tcBorders>
              <w:top w:val="nil"/>
              <w:left w:val="single" w:color="auto" w:sz="2" w:space="0"/>
              <w:bottom w:val="single" w:color="auto" w:sz="4" w:space="0"/>
              <w:right w:val="single" w:color="auto" w:sz="2" w:space="0"/>
            </w:tcBorders>
            <w:vAlign w:val="center"/>
          </w:tcPr>
          <w:p w14:paraId="1576F44E">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50" w:type="dxa"/>
            <w:tcBorders>
              <w:top w:val="nil"/>
              <w:left w:val="single" w:color="auto" w:sz="2" w:space="0"/>
              <w:bottom w:val="single" w:color="auto" w:sz="4" w:space="0"/>
              <w:right w:val="single" w:color="auto" w:sz="2" w:space="0"/>
            </w:tcBorders>
            <w:vAlign w:val="center"/>
          </w:tcPr>
          <w:p w14:paraId="0F87189A">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100" w:type="dxa"/>
            <w:tcBorders>
              <w:top w:val="nil"/>
              <w:left w:val="single" w:color="auto" w:sz="2" w:space="0"/>
              <w:bottom w:val="single" w:color="auto" w:sz="4" w:space="0"/>
              <w:right w:val="single" w:color="auto" w:sz="2" w:space="0"/>
            </w:tcBorders>
            <w:vAlign w:val="center"/>
          </w:tcPr>
          <w:p w14:paraId="4CC776C4">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1070" w:type="dxa"/>
            <w:tcBorders>
              <w:top w:val="nil"/>
              <w:left w:val="single" w:color="auto" w:sz="2" w:space="0"/>
              <w:bottom w:val="single" w:color="auto" w:sz="4" w:space="0"/>
              <w:right w:val="single" w:color="auto" w:sz="2" w:space="0"/>
            </w:tcBorders>
            <w:vAlign w:val="center"/>
          </w:tcPr>
          <w:p w14:paraId="1B2422D9">
            <w:pPr>
              <w:wordWrap w:val="0"/>
              <w:topLinePunct/>
              <w:spacing w:line="240" w:lineRule="exact"/>
              <w:ind w:firstLine="0" w:firstLineChars="0"/>
              <w:jc w:val="center"/>
              <w:rPr>
                <w:spacing w:val="-20"/>
                <w:sz w:val="18"/>
                <w:szCs w:val="18"/>
              </w:rPr>
            </w:pPr>
            <w:r>
              <w:rPr>
                <w:rFonts w:hint="eastAsia"/>
                <w:spacing w:val="-20"/>
                <w:sz w:val="18"/>
                <w:szCs w:val="18"/>
              </w:rPr>
              <w:t>Yes</w:t>
            </w:r>
          </w:p>
        </w:tc>
        <w:tc>
          <w:tcPr>
            <w:tcW w:w="938" w:type="dxa"/>
            <w:tcBorders>
              <w:top w:val="nil"/>
              <w:left w:val="single" w:color="auto" w:sz="2" w:space="0"/>
              <w:bottom w:val="single" w:color="auto" w:sz="4" w:space="0"/>
              <w:right w:val="nil"/>
            </w:tcBorders>
            <w:vAlign w:val="center"/>
          </w:tcPr>
          <w:p w14:paraId="54598E56">
            <w:pPr>
              <w:wordWrap w:val="0"/>
              <w:topLinePunct/>
              <w:spacing w:line="240" w:lineRule="exact"/>
              <w:ind w:firstLine="0" w:firstLineChars="0"/>
              <w:jc w:val="center"/>
              <w:rPr>
                <w:spacing w:val="-20"/>
                <w:sz w:val="18"/>
                <w:szCs w:val="18"/>
              </w:rPr>
            </w:pPr>
            <w:r>
              <w:rPr>
                <w:rFonts w:hint="eastAsia"/>
                <w:spacing w:val="-20"/>
                <w:sz w:val="18"/>
                <w:szCs w:val="18"/>
              </w:rPr>
              <w:t>Yes</w:t>
            </w:r>
          </w:p>
        </w:tc>
      </w:tr>
      <w:tr w14:paraId="2E59472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4" w:type="dxa"/>
            <w:tcBorders>
              <w:top w:val="single" w:color="auto" w:sz="4" w:space="0"/>
              <w:right w:val="single" w:color="auto" w:sz="2" w:space="0"/>
              <w:tl2br w:val="nil"/>
              <w:tr2bl w:val="nil"/>
            </w:tcBorders>
            <w:vAlign w:val="center"/>
          </w:tcPr>
          <w:p w14:paraId="1089D3B3">
            <w:pPr>
              <w:widowControl/>
              <w:spacing w:before="60" w:after="60"/>
              <w:ind w:firstLine="0" w:firstLineChars="0"/>
              <w:jc w:val="left"/>
              <w:rPr>
                <w:rFonts w:eastAsia="楷体"/>
                <w:kern w:val="0"/>
                <w:sz w:val="18"/>
                <w:szCs w:val="18"/>
              </w:rPr>
            </w:pPr>
            <w:r>
              <w:rPr>
                <w:rFonts w:hint="eastAsia" w:eastAsia="楷体"/>
                <w:kern w:val="0"/>
                <w:sz w:val="18"/>
                <w:szCs w:val="18"/>
              </w:rPr>
              <w:t>N</w:t>
            </w:r>
          </w:p>
        </w:tc>
        <w:tc>
          <w:tcPr>
            <w:tcW w:w="1010" w:type="dxa"/>
            <w:tcBorders>
              <w:top w:val="single" w:color="auto" w:sz="4" w:space="0"/>
              <w:left w:val="single" w:color="auto" w:sz="2" w:space="0"/>
              <w:right w:val="single" w:color="auto" w:sz="2" w:space="0"/>
            </w:tcBorders>
            <w:vAlign w:val="center"/>
          </w:tcPr>
          <w:p w14:paraId="128B3466">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981" w:type="dxa"/>
            <w:tcBorders>
              <w:top w:val="single" w:color="auto" w:sz="4" w:space="0"/>
              <w:left w:val="single" w:color="auto" w:sz="2" w:space="0"/>
              <w:right w:val="single" w:color="auto" w:sz="2" w:space="0"/>
            </w:tcBorders>
            <w:vAlign w:val="center"/>
          </w:tcPr>
          <w:p w14:paraId="0165F3A4">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981" w:type="dxa"/>
            <w:tcBorders>
              <w:top w:val="single" w:color="auto" w:sz="4" w:space="0"/>
              <w:left w:val="single" w:color="auto" w:sz="2" w:space="0"/>
              <w:right w:val="single" w:color="auto" w:sz="2" w:space="0"/>
            </w:tcBorders>
            <w:vAlign w:val="center"/>
          </w:tcPr>
          <w:p w14:paraId="3F40921A">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934" w:type="dxa"/>
            <w:tcBorders>
              <w:top w:val="single" w:color="auto" w:sz="4" w:space="0"/>
              <w:left w:val="single" w:color="auto" w:sz="2" w:space="0"/>
              <w:right w:val="single" w:color="auto" w:sz="2" w:space="0"/>
            </w:tcBorders>
            <w:vAlign w:val="center"/>
          </w:tcPr>
          <w:p w14:paraId="2B31B9C7">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1150" w:type="dxa"/>
            <w:tcBorders>
              <w:top w:val="single" w:color="auto" w:sz="4" w:space="0"/>
              <w:left w:val="single" w:color="auto" w:sz="2" w:space="0"/>
              <w:right w:val="single" w:color="auto" w:sz="2" w:space="0"/>
            </w:tcBorders>
            <w:vAlign w:val="center"/>
          </w:tcPr>
          <w:p w14:paraId="2DB0CD6D">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1100" w:type="dxa"/>
            <w:tcBorders>
              <w:top w:val="single" w:color="auto" w:sz="4" w:space="0"/>
              <w:left w:val="single" w:color="auto" w:sz="2" w:space="0"/>
              <w:right w:val="single" w:color="auto" w:sz="2" w:space="0"/>
            </w:tcBorders>
            <w:vAlign w:val="center"/>
          </w:tcPr>
          <w:p w14:paraId="72C5A909">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1070" w:type="dxa"/>
            <w:tcBorders>
              <w:top w:val="single" w:color="auto" w:sz="4" w:space="0"/>
              <w:left w:val="single" w:color="auto" w:sz="2" w:space="0"/>
              <w:right w:val="single" w:color="auto" w:sz="2" w:space="0"/>
            </w:tcBorders>
            <w:vAlign w:val="center"/>
          </w:tcPr>
          <w:p w14:paraId="23F2A154">
            <w:pPr>
              <w:wordWrap w:val="0"/>
              <w:topLinePunct/>
              <w:spacing w:line="240" w:lineRule="exact"/>
              <w:ind w:firstLine="0" w:firstLineChars="0"/>
              <w:jc w:val="center"/>
              <w:rPr>
                <w:spacing w:val="-20"/>
                <w:sz w:val="18"/>
                <w:szCs w:val="18"/>
              </w:rPr>
            </w:pPr>
            <w:r>
              <w:rPr>
                <w:rFonts w:hint="eastAsia"/>
                <w:spacing w:val="-20"/>
                <w:sz w:val="18"/>
                <w:szCs w:val="18"/>
              </w:rPr>
              <w:t>3679</w:t>
            </w:r>
          </w:p>
        </w:tc>
        <w:tc>
          <w:tcPr>
            <w:tcW w:w="938" w:type="dxa"/>
            <w:tcBorders>
              <w:top w:val="single" w:color="auto" w:sz="4" w:space="0"/>
              <w:left w:val="single" w:color="auto" w:sz="2" w:space="0"/>
              <w:right w:val="nil"/>
            </w:tcBorders>
            <w:vAlign w:val="center"/>
          </w:tcPr>
          <w:p w14:paraId="2E23CC17">
            <w:pPr>
              <w:wordWrap w:val="0"/>
              <w:topLinePunct/>
              <w:spacing w:line="240" w:lineRule="exact"/>
              <w:ind w:firstLine="0" w:firstLineChars="0"/>
              <w:jc w:val="center"/>
              <w:rPr>
                <w:spacing w:val="-20"/>
                <w:sz w:val="18"/>
                <w:szCs w:val="18"/>
              </w:rPr>
            </w:pPr>
            <w:r>
              <w:rPr>
                <w:rFonts w:hint="eastAsia"/>
                <w:spacing w:val="-20"/>
                <w:sz w:val="18"/>
                <w:szCs w:val="18"/>
              </w:rPr>
              <w:t>3679</w:t>
            </w:r>
          </w:p>
        </w:tc>
      </w:tr>
      <w:bookmarkEnd w:id="1"/>
      <w:bookmarkEnd w:id="2"/>
      <w:bookmarkEnd w:id="3"/>
    </w:tbl>
    <w:p w14:paraId="73FB9E0C">
      <w:pPr>
        <w:rPr>
          <w:rFonts w:hint="eastAsia" w:ascii="仿宋" w:hAnsi="仿宋" w:eastAsia="仿宋"/>
          <w:b/>
          <w:kern w:val="0"/>
          <w:sz w:val="28"/>
          <w:szCs w:val="28"/>
        </w:rPr>
      </w:pPr>
      <w:r>
        <w:rPr>
          <w:rFonts w:hint="eastAsia" w:ascii="仿宋" w:hAnsi="仿宋" w:eastAsia="仿宋"/>
          <w:b/>
          <w:kern w:val="0"/>
          <w:sz w:val="28"/>
          <w:szCs w:val="28"/>
        </w:rPr>
        <w:br w:type="page"/>
      </w:r>
    </w:p>
    <w:p w14:paraId="7BF5DC59">
      <w:pPr>
        <w:widowControl/>
        <w:ind w:left="0" w:leftChars="0" w:firstLine="0" w:firstLineChars="0"/>
        <w:jc w:val="center"/>
        <w:outlineLvl w:val="0"/>
        <w:rPr>
          <w:rFonts w:hint="eastAsia" w:ascii="仿宋" w:hAnsi="仿宋" w:eastAsia="仿宋"/>
          <w:b/>
          <w:kern w:val="0"/>
          <w:sz w:val="28"/>
          <w:szCs w:val="28"/>
        </w:rPr>
      </w:pPr>
      <w:r>
        <w:rPr>
          <w:rFonts w:hint="eastAsia" w:ascii="仿宋" w:hAnsi="仿宋" w:eastAsia="仿宋"/>
          <w:b/>
          <w:kern w:val="0"/>
          <w:sz w:val="28"/>
          <w:szCs w:val="28"/>
        </w:rPr>
        <w:t>参考文献</w:t>
      </w:r>
    </w:p>
    <w:p w14:paraId="4A861292">
      <w:pPr>
        <w:widowControl/>
        <w:numPr>
          <w:ilvl w:val="0"/>
          <w:numId w:val="1"/>
        </w:numPr>
        <w:tabs>
          <w:tab w:val="left" w:pos="284"/>
          <w:tab w:val="clear" w:pos="420"/>
        </w:tabs>
        <w:wordWrap w:val="0"/>
        <w:topLinePunct/>
        <w:ind w:left="283" w:hanging="281" w:hangingChars="147"/>
        <w:rPr>
          <w:sz w:val="18"/>
          <w:szCs w:val="18"/>
        </w:rPr>
      </w:pPr>
      <w:r>
        <w:rPr>
          <w:rFonts w:hint="eastAsia"/>
          <w:sz w:val="18"/>
          <w:szCs w:val="18"/>
        </w:rPr>
        <w:t>陈建军、刘月、邹苗苗</w:t>
      </w:r>
      <w:r>
        <w:rPr>
          <w:sz w:val="18"/>
          <w:szCs w:val="18"/>
        </w:rPr>
        <w:t>,</w:t>
      </w:r>
      <w:r>
        <w:rPr>
          <w:rFonts w:hint="eastAsia"/>
          <w:sz w:val="18"/>
          <w:szCs w:val="18"/>
        </w:rPr>
        <w:t>2016:《产业协同集聚下的城市生产效率增进——基于融合创新与发展动力转换背景》,《浙江大学学报(人文社会科学版)》第3期</w:t>
      </w:r>
      <w:r>
        <w:rPr>
          <w:sz w:val="18"/>
          <w:szCs w:val="18"/>
        </w:rPr>
        <w:t>.</w:t>
      </w:r>
    </w:p>
    <w:p w14:paraId="5A27B37F">
      <w:pPr>
        <w:numPr>
          <w:ilvl w:val="0"/>
          <w:numId w:val="1"/>
        </w:numPr>
        <w:tabs>
          <w:tab w:val="left" w:pos="284"/>
          <w:tab w:val="clear" w:pos="420"/>
        </w:tabs>
        <w:wordWrap w:val="0"/>
        <w:topLinePunct/>
        <w:ind w:left="283" w:hanging="281" w:hangingChars="147"/>
        <w:rPr>
          <w:sz w:val="18"/>
          <w:szCs w:val="18"/>
        </w:rPr>
      </w:pPr>
      <w:r>
        <w:rPr>
          <w:rFonts w:hint="eastAsia"/>
          <w:sz w:val="18"/>
          <w:szCs w:val="18"/>
        </w:rPr>
        <w:t>韩峰、柯善咨</w:t>
      </w:r>
      <w:r>
        <w:rPr>
          <w:sz w:val="18"/>
          <w:szCs w:val="18"/>
        </w:rPr>
        <w:t>,</w:t>
      </w:r>
      <w:r>
        <w:rPr>
          <w:rFonts w:hint="eastAsia"/>
          <w:sz w:val="18"/>
          <w:szCs w:val="18"/>
        </w:rPr>
        <w:t>2012:《追踪我国制造业集聚的空间来源:基于马歇尔外部性与新经济地理的综合视角》,《管理世界》第</w:t>
      </w:r>
      <w:r>
        <w:rPr>
          <w:sz w:val="18"/>
          <w:szCs w:val="18"/>
        </w:rPr>
        <w:t>1</w:t>
      </w:r>
      <w:r>
        <w:rPr>
          <w:rFonts w:hint="eastAsia"/>
          <w:sz w:val="18"/>
          <w:szCs w:val="18"/>
        </w:rPr>
        <w:t>0期</w:t>
      </w:r>
      <w:r>
        <w:rPr>
          <w:sz w:val="18"/>
          <w:szCs w:val="18"/>
        </w:rPr>
        <w:t>.</w:t>
      </w:r>
    </w:p>
    <w:p w14:paraId="31232910">
      <w:pPr>
        <w:numPr>
          <w:ilvl w:val="0"/>
          <w:numId w:val="1"/>
        </w:numPr>
        <w:tabs>
          <w:tab w:val="left" w:pos="284"/>
          <w:tab w:val="clear" w:pos="420"/>
        </w:tabs>
        <w:wordWrap w:val="0"/>
        <w:topLinePunct/>
        <w:ind w:left="283" w:hanging="281" w:hangingChars="147"/>
        <w:rPr>
          <w:sz w:val="18"/>
          <w:szCs w:val="18"/>
        </w:rPr>
      </w:pPr>
      <w:r>
        <w:rPr>
          <w:sz w:val="18"/>
          <w:szCs w:val="18"/>
        </w:rPr>
        <w:t>华岳</w:t>
      </w:r>
      <w:r>
        <w:rPr>
          <w:rFonts w:hint="eastAsia"/>
          <w:sz w:val="18"/>
          <w:szCs w:val="18"/>
        </w:rPr>
        <w:t>、</w:t>
      </w:r>
      <w:r>
        <w:rPr>
          <w:sz w:val="18"/>
          <w:szCs w:val="18"/>
        </w:rPr>
        <w:t>叶芸,</w:t>
      </w:r>
      <w:r>
        <w:rPr>
          <w:rFonts w:hint="eastAsia"/>
          <w:sz w:val="18"/>
          <w:szCs w:val="18"/>
        </w:rPr>
        <w:t>2023:《</w:t>
      </w:r>
      <w:r>
        <w:rPr>
          <w:sz w:val="18"/>
          <w:szCs w:val="18"/>
        </w:rPr>
        <w:t>绿色区位导向性政策的碳减排效应——来自国家生态工业示范园区的实践</w:t>
      </w:r>
      <w:r>
        <w:rPr>
          <w:rFonts w:hint="eastAsia"/>
          <w:sz w:val="18"/>
          <w:szCs w:val="18"/>
        </w:rPr>
        <w:t>》,《</w:t>
      </w:r>
      <w:r>
        <w:rPr>
          <w:sz w:val="18"/>
          <w:szCs w:val="18"/>
        </w:rPr>
        <w:t>数量经济技术经济研究</w:t>
      </w:r>
      <w:r>
        <w:rPr>
          <w:rFonts w:hint="eastAsia"/>
          <w:sz w:val="18"/>
          <w:szCs w:val="18"/>
        </w:rPr>
        <w:t>》第</w:t>
      </w:r>
      <w:r>
        <w:rPr>
          <w:sz w:val="18"/>
          <w:szCs w:val="18"/>
        </w:rPr>
        <w:t>4</w:t>
      </w:r>
      <w:r>
        <w:rPr>
          <w:rFonts w:hint="eastAsia"/>
          <w:sz w:val="18"/>
          <w:szCs w:val="18"/>
        </w:rPr>
        <w:t>期</w:t>
      </w:r>
      <w:r>
        <w:rPr>
          <w:sz w:val="18"/>
          <w:szCs w:val="18"/>
        </w:rPr>
        <w:t>.</w:t>
      </w:r>
    </w:p>
    <w:p w14:paraId="4849EABB">
      <w:pPr>
        <w:numPr>
          <w:ilvl w:val="0"/>
          <w:numId w:val="1"/>
        </w:numPr>
        <w:tabs>
          <w:tab w:val="left" w:pos="284"/>
          <w:tab w:val="clear" w:pos="420"/>
        </w:tabs>
        <w:wordWrap w:val="0"/>
        <w:topLinePunct/>
        <w:ind w:left="283" w:hanging="281" w:hangingChars="147"/>
        <w:rPr>
          <w:sz w:val="18"/>
          <w:szCs w:val="18"/>
        </w:rPr>
      </w:pPr>
      <w:r>
        <w:rPr>
          <w:sz w:val="18"/>
          <w:szCs w:val="18"/>
        </w:rPr>
        <w:t>李春涛</w:t>
      </w:r>
      <w:r>
        <w:rPr>
          <w:rFonts w:hint="eastAsia"/>
          <w:sz w:val="18"/>
          <w:szCs w:val="18"/>
        </w:rPr>
        <w:t>、</w:t>
      </w:r>
      <w:r>
        <w:rPr>
          <w:sz w:val="18"/>
          <w:szCs w:val="18"/>
        </w:rPr>
        <w:t>闫续文</w:t>
      </w:r>
      <w:r>
        <w:rPr>
          <w:rFonts w:hint="eastAsia"/>
          <w:sz w:val="18"/>
          <w:szCs w:val="18"/>
        </w:rPr>
        <w:t>、</w:t>
      </w:r>
      <w:r>
        <w:rPr>
          <w:sz w:val="18"/>
          <w:szCs w:val="18"/>
        </w:rPr>
        <w:t>宋敏</w:t>
      </w:r>
      <w:r>
        <w:rPr>
          <w:rFonts w:hint="eastAsia"/>
          <w:sz w:val="18"/>
          <w:szCs w:val="18"/>
        </w:rPr>
        <w:t>、杨威</w:t>
      </w:r>
      <w:r>
        <w:rPr>
          <w:sz w:val="18"/>
          <w:szCs w:val="18"/>
        </w:rPr>
        <w:t>,</w:t>
      </w:r>
      <w:r>
        <w:rPr>
          <w:rFonts w:hint="eastAsia"/>
          <w:sz w:val="18"/>
          <w:szCs w:val="18"/>
        </w:rPr>
        <w:t>2020:《</w:t>
      </w:r>
      <w:r>
        <w:rPr>
          <w:sz w:val="18"/>
          <w:szCs w:val="18"/>
        </w:rPr>
        <w:t>金融科技与企业创新——新三板上市公司的证据</w:t>
      </w:r>
      <w:r>
        <w:rPr>
          <w:rFonts w:hint="eastAsia"/>
          <w:sz w:val="18"/>
          <w:szCs w:val="18"/>
        </w:rPr>
        <w:t>》,《</w:t>
      </w:r>
      <w:r>
        <w:rPr>
          <w:sz w:val="18"/>
          <w:szCs w:val="18"/>
        </w:rPr>
        <w:t>中国工业经济</w:t>
      </w:r>
      <w:r>
        <w:rPr>
          <w:rFonts w:hint="eastAsia"/>
          <w:sz w:val="18"/>
          <w:szCs w:val="18"/>
        </w:rPr>
        <w:t>》第</w:t>
      </w:r>
      <w:r>
        <w:rPr>
          <w:sz w:val="18"/>
          <w:szCs w:val="18"/>
        </w:rPr>
        <w:t>1</w:t>
      </w:r>
      <w:r>
        <w:rPr>
          <w:rFonts w:hint="eastAsia"/>
          <w:sz w:val="18"/>
          <w:szCs w:val="18"/>
        </w:rPr>
        <w:t>期</w:t>
      </w:r>
      <w:r>
        <w:rPr>
          <w:sz w:val="18"/>
          <w:szCs w:val="18"/>
        </w:rPr>
        <w:t>.</w:t>
      </w:r>
    </w:p>
    <w:p w14:paraId="4E2F0CBD">
      <w:pPr>
        <w:numPr>
          <w:ilvl w:val="0"/>
          <w:numId w:val="1"/>
        </w:numPr>
        <w:tabs>
          <w:tab w:val="left" w:pos="284"/>
          <w:tab w:val="clear" w:pos="420"/>
        </w:tabs>
        <w:wordWrap w:val="0"/>
        <w:topLinePunct/>
        <w:ind w:left="283" w:hanging="281" w:hangingChars="147"/>
        <w:rPr>
          <w:sz w:val="18"/>
          <w:szCs w:val="18"/>
        </w:rPr>
      </w:pPr>
      <w:r>
        <w:rPr>
          <w:rFonts w:hint="eastAsia"/>
          <w:sz w:val="18"/>
          <w:szCs w:val="18"/>
        </w:rPr>
        <w:t>孙早、宋炜</w:t>
      </w:r>
      <w:r>
        <w:rPr>
          <w:sz w:val="18"/>
          <w:szCs w:val="18"/>
        </w:rPr>
        <w:t>,</w:t>
      </w:r>
      <w:r>
        <w:rPr>
          <w:rFonts w:hint="eastAsia"/>
          <w:sz w:val="18"/>
          <w:szCs w:val="18"/>
        </w:rPr>
        <w:t>2012:《企业R&amp;D投入对产业创新绩效的影响——来自中国制造业的经验证据》,《数量经济技术经济研究》第4期</w:t>
      </w:r>
      <w:r>
        <w:rPr>
          <w:sz w:val="18"/>
          <w:szCs w:val="18"/>
        </w:rPr>
        <w:t>.</w:t>
      </w:r>
    </w:p>
    <w:p w14:paraId="706DC7EE">
      <w:pPr>
        <w:numPr>
          <w:ilvl w:val="0"/>
          <w:numId w:val="1"/>
        </w:numPr>
        <w:tabs>
          <w:tab w:val="left" w:pos="284"/>
          <w:tab w:val="clear" w:pos="420"/>
        </w:tabs>
        <w:wordWrap w:val="0"/>
        <w:topLinePunct/>
        <w:ind w:left="283" w:hanging="281" w:hangingChars="147"/>
        <w:rPr>
          <w:sz w:val="18"/>
          <w:szCs w:val="18"/>
        </w:rPr>
      </w:pPr>
      <w:r>
        <w:rPr>
          <w:rFonts w:hint="eastAsia"/>
          <w:sz w:val="18"/>
          <w:szCs w:val="18"/>
        </w:rPr>
        <w:t>汪克亮、赵斌、许如玉</w:t>
      </w:r>
      <w:r>
        <w:rPr>
          <w:sz w:val="18"/>
          <w:szCs w:val="18"/>
        </w:rPr>
        <w:t>,</w:t>
      </w:r>
      <w:r>
        <w:rPr>
          <w:rFonts w:hint="eastAsia"/>
          <w:sz w:val="18"/>
          <w:szCs w:val="18"/>
        </w:rPr>
        <w:t>2023:《创新要素流动对能源效率的影响》,《统计研究》第4期</w:t>
      </w:r>
      <w:r>
        <w:rPr>
          <w:sz w:val="18"/>
          <w:szCs w:val="18"/>
        </w:rPr>
        <w:t>.</w:t>
      </w:r>
    </w:p>
    <w:p w14:paraId="1A9102B4">
      <w:pPr>
        <w:widowControl/>
        <w:numPr>
          <w:ilvl w:val="0"/>
          <w:numId w:val="1"/>
        </w:numPr>
        <w:tabs>
          <w:tab w:val="left" w:pos="284"/>
          <w:tab w:val="clear" w:pos="420"/>
        </w:tabs>
        <w:wordWrap w:val="0"/>
        <w:topLinePunct/>
        <w:ind w:left="283" w:hanging="281" w:hangingChars="147"/>
        <w:rPr>
          <w:sz w:val="18"/>
          <w:szCs w:val="18"/>
        </w:rPr>
      </w:pPr>
      <w:r>
        <w:rPr>
          <w:rFonts w:hint="eastAsia"/>
          <w:sz w:val="18"/>
          <w:szCs w:val="18"/>
        </w:rPr>
        <w:t>徐洁、李琳</w:t>
      </w:r>
      <w:r>
        <w:rPr>
          <w:sz w:val="18"/>
          <w:szCs w:val="18"/>
        </w:rPr>
        <w:t>,</w:t>
      </w:r>
      <w:r>
        <w:rPr>
          <w:rFonts w:hint="eastAsia"/>
          <w:sz w:val="18"/>
          <w:szCs w:val="18"/>
        </w:rPr>
        <w:t>2023:《技术关联、产业政策与中国城市突破性创新》,《地理研究》第10期</w:t>
      </w:r>
      <w:r>
        <w:rPr>
          <w:sz w:val="18"/>
          <w:szCs w:val="18"/>
        </w:rPr>
        <w:t>.</w:t>
      </w:r>
    </w:p>
    <w:p w14:paraId="018B6680">
      <w:pPr>
        <w:numPr>
          <w:ilvl w:val="0"/>
          <w:numId w:val="1"/>
        </w:numPr>
        <w:tabs>
          <w:tab w:val="left" w:pos="284"/>
          <w:tab w:val="clear" w:pos="420"/>
        </w:tabs>
        <w:wordWrap w:val="0"/>
        <w:topLinePunct/>
        <w:ind w:left="283" w:hanging="281" w:hangingChars="147"/>
        <w:rPr>
          <w:sz w:val="18"/>
          <w:szCs w:val="18"/>
        </w:rPr>
      </w:pPr>
      <w:r>
        <w:rPr>
          <w:rFonts w:hint="eastAsia"/>
          <w:sz w:val="18"/>
          <w:szCs w:val="18"/>
        </w:rPr>
        <w:t>张涛、李均超,2023:《网络基础设施、包容性绿色增长与地区差距——基于双重机器学习的因果推断》,《数量经济技术经济研究》第4期.</w:t>
      </w:r>
    </w:p>
    <w:p w14:paraId="6DE0179F">
      <w:pPr>
        <w:numPr>
          <w:ilvl w:val="0"/>
          <w:numId w:val="1"/>
        </w:numPr>
        <w:tabs>
          <w:tab w:val="left" w:pos="284"/>
          <w:tab w:val="clear" w:pos="420"/>
        </w:tabs>
        <w:wordWrap w:val="0"/>
        <w:topLinePunct/>
        <w:ind w:left="283" w:hanging="281" w:hangingChars="147"/>
        <w:rPr>
          <w:sz w:val="18"/>
          <w:szCs w:val="18"/>
        </w:rPr>
      </w:pPr>
      <w:r>
        <w:rPr>
          <w:rFonts w:hint="eastAsia"/>
          <w:sz w:val="18"/>
          <w:szCs w:val="18"/>
        </w:rPr>
        <w:t>赵涛、张智、梁上坤,2020:《数字经济、创业活跃度与高质量发展——来自中国城市的经验证据》,《管理世界》第10期.</w:t>
      </w:r>
    </w:p>
    <w:p w14:paraId="5E6F0994">
      <w:pPr>
        <w:numPr>
          <w:ilvl w:val="0"/>
          <w:numId w:val="1"/>
        </w:numPr>
        <w:tabs>
          <w:tab w:val="left" w:pos="284"/>
          <w:tab w:val="clear" w:pos="420"/>
        </w:tabs>
        <w:wordWrap w:val="0"/>
        <w:topLinePunct/>
        <w:ind w:left="283" w:hanging="281" w:hangingChars="147"/>
        <w:rPr>
          <w:sz w:val="18"/>
          <w:szCs w:val="18"/>
        </w:rPr>
      </w:pPr>
      <w:r>
        <w:rPr>
          <w:rFonts w:hint="eastAsia"/>
          <w:sz w:val="18"/>
          <w:szCs w:val="18"/>
        </w:rPr>
        <w:t xml:space="preserve">Nunn, N, and Qian, N. 2014. </w:t>
      </w:r>
      <w:r>
        <w:rPr>
          <w:sz w:val="18"/>
          <w:szCs w:val="18"/>
        </w:rPr>
        <w:t>“</w:t>
      </w:r>
      <w:r>
        <w:rPr>
          <w:rFonts w:hint="eastAsia"/>
          <w:sz w:val="18"/>
          <w:szCs w:val="18"/>
        </w:rPr>
        <w:t>US</w:t>
      </w:r>
      <w:r>
        <w:rPr>
          <w:rFonts w:hint="eastAsia"/>
          <w:sz w:val="18"/>
          <w:szCs w:val="18"/>
          <w:lang w:val="en-US" w:eastAsia="zh-CN"/>
        </w:rPr>
        <w:t xml:space="preserve"> </w:t>
      </w:r>
      <w:r>
        <w:rPr>
          <w:rFonts w:hint="eastAsia"/>
          <w:sz w:val="18"/>
          <w:szCs w:val="18"/>
        </w:rPr>
        <w:t>Food Aid and Civil Conflict</w:t>
      </w:r>
      <w:r>
        <w:rPr>
          <w:sz w:val="18"/>
          <w:szCs w:val="18"/>
        </w:rPr>
        <w:t>”</w:t>
      </w:r>
      <w:r>
        <w:rPr>
          <w:rFonts w:hint="eastAsia"/>
          <w:sz w:val="18"/>
          <w:szCs w:val="18"/>
        </w:rPr>
        <w:t xml:space="preserve">. </w:t>
      </w:r>
      <w:r>
        <w:rPr>
          <w:rFonts w:hint="eastAsia"/>
          <w:i/>
          <w:iCs/>
          <w:sz w:val="18"/>
          <w:szCs w:val="18"/>
        </w:rPr>
        <w:t xml:space="preserve">American Economic Review </w:t>
      </w:r>
      <w:r>
        <w:rPr>
          <w:rFonts w:hint="eastAsia"/>
          <w:i/>
          <w:iCs/>
          <w:sz w:val="18"/>
          <w:szCs w:val="18"/>
          <w:lang w:val="en-US" w:eastAsia="zh-CN"/>
        </w:rPr>
        <w:t>104</w:t>
      </w:r>
      <w:r>
        <w:rPr>
          <w:rFonts w:hint="eastAsia"/>
          <w:i/>
          <w:iCs/>
          <w:sz w:val="18"/>
          <w:szCs w:val="18"/>
        </w:rPr>
        <w:t>(6):1630-1666.</w:t>
      </w:r>
    </w:p>
    <w:p w14:paraId="353ED5B1">
      <w:pPr>
        <w:numPr>
          <w:ilvl w:val="0"/>
          <w:numId w:val="0"/>
        </w:numPr>
        <w:tabs>
          <w:tab w:val="left" w:pos="284"/>
        </w:tabs>
        <w:wordWrap w:val="0"/>
        <w:topLinePunct/>
        <w:rPr>
          <w:sz w:val="18"/>
          <w:szCs w:val="18"/>
        </w:rPr>
      </w:pPr>
    </w:p>
    <w:p w14:paraId="7A079C32">
      <w:pPr>
        <w:widowControl/>
        <w:ind w:left="0" w:leftChars="0" w:firstLine="0" w:firstLineChars="0"/>
        <w:jc w:val="both"/>
        <w:outlineLvl w:val="0"/>
        <w:rPr>
          <w:rFonts w:hint="eastAsia" w:ascii="仿宋" w:hAnsi="仿宋" w:eastAsia="仿宋"/>
          <w:b/>
          <w:kern w:val="0"/>
          <w:sz w:val="28"/>
          <w:szCs w:val="28"/>
        </w:rPr>
      </w:pPr>
    </w:p>
    <w:p w14:paraId="6C50F2A9">
      <w:pPr>
        <w:wordWrap w:val="0"/>
        <w:topLinePunct/>
        <w:ind w:firstLine="0" w:firstLineChars="0"/>
        <w:rPr>
          <w:sz w:val="18"/>
          <w:szCs w:val="18"/>
        </w:rPr>
      </w:pPr>
    </w:p>
    <w:p w14:paraId="787A2A0A">
      <w:pPr>
        <w:spacing w:line="360" w:lineRule="auto"/>
        <w:ind w:firstLine="447"/>
        <w:rPr>
          <w:rFonts w:eastAsia="黑体"/>
          <w:b/>
          <w:bCs/>
          <w:kern w:val="44"/>
          <w:sz w:val="24"/>
          <w:szCs w:val="32"/>
        </w:rPr>
      </w:pPr>
      <w:bookmarkStart w:id="4" w:name="_Hlk209605602"/>
      <w:r>
        <w:rPr>
          <w:rFonts w:hint="eastAsia" w:ascii="Calibri" w:hAnsi="Calibri"/>
          <w:b/>
        </w:rPr>
        <w:t>注：该附录是期刊所发表论文的组成部分，同样视为作者公开发表的内容。如研究中使用该附录中的内容，</w:t>
      </w:r>
      <w:r>
        <w:rPr>
          <w:rFonts w:hint="eastAsia" w:ascii="宋体" w:hAnsi="宋体" w:cs="Arial"/>
          <w:b/>
          <w:bCs/>
          <w:kern w:val="0"/>
          <w:szCs w:val="21"/>
        </w:rPr>
        <w:t>请务必在研究成果上注明引文和下载附件出处</w:t>
      </w:r>
      <w:r>
        <w:rPr>
          <w:rFonts w:hint="eastAsia" w:ascii="宋体" w:hAnsi="宋体" w:cs="Arial"/>
          <w:kern w:val="0"/>
          <w:szCs w:val="21"/>
        </w:rPr>
        <w:t>。</w:t>
      </w:r>
      <w:bookmarkEnd w:id="4"/>
    </w:p>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type w:val="continuous"/>
      <w:pgSz w:w="11906" w:h="16838"/>
      <w:pgMar w:top="1440" w:right="1803" w:bottom="1440" w:left="1803" w:header="720" w:footer="720" w:gutter="0"/>
      <w:cols w:space="720" w:num="1"/>
      <w:docGrid w:type="linesAndChars" w:linePitch="332" w:charSpace="263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44"/>
      </w:pPr>
      <w:r>
        <w:separator/>
      </w:r>
    </w:p>
  </w:endnote>
  <w:endnote w:type="continuationSeparator" w:id="1">
    <w:p>
      <w:pPr>
        <w:ind w:firstLine="4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方正书宋">
    <w:altName w:val="宋体"/>
    <w:panose1 w:val="00000000000000000000"/>
    <w:charset w:val="86"/>
    <w:family w:val="roman"/>
    <w:pitch w:val="default"/>
    <w:sig w:usb0="00000000" w:usb1="00000000" w:usb2="00000010" w:usb3="00000000" w:csb0="00040000" w:csb1="00000000"/>
  </w:font>
  <w:font w:name="Helvetica">
    <w:altName w:val="Arial"/>
    <w:panose1 w:val="020B0604020202020204"/>
    <w:charset w:val="00"/>
    <w:family w:val="auto"/>
    <w:pitch w:val="default"/>
    <w:sig w:usb0="00000000" w:usb1="00000000" w:usb2="00000000" w:usb3="00000000" w:csb0="0000019F"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6491165"/>
    </w:sdtPr>
    <w:sdtContent>
      <w:p w14:paraId="49C78139">
        <w:pPr>
          <w:pStyle w:val="11"/>
          <w:ind w:firstLine="360"/>
          <w:jc w:val="center"/>
        </w:pPr>
        <w:r>
          <w:fldChar w:fldCharType="begin"/>
        </w:r>
        <w:r>
          <w:instrText xml:space="preserve">PAGE   \* MERGEFORMAT</w:instrText>
        </w:r>
        <w:r>
          <w:fldChar w:fldCharType="separate"/>
        </w:r>
        <w:r>
          <w:rPr>
            <w:lang w:val="zh-CN"/>
          </w:rPr>
          <w:t>2</w:t>
        </w:r>
        <w:r>
          <w:fldChar w:fldCharType="end"/>
        </w:r>
      </w:p>
    </w:sdtContent>
  </w:sdt>
  <w:p w14:paraId="05B5448C">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4"/>
      </w:rPr>
      <w:id w:val="1866025408"/>
    </w:sdtPr>
    <w:sdtEndPr>
      <w:rPr>
        <w:rStyle w:val="24"/>
      </w:rPr>
    </w:sdtEndPr>
    <w:sdtContent>
      <w:p w14:paraId="294BC5F7">
        <w:pPr>
          <w:pStyle w:val="11"/>
          <w:framePr w:wrap="auto" w:vAnchor="text" w:hAnchor="margin" w:xAlign="right" w:y="1"/>
          <w:ind w:firstLine="360"/>
          <w:rPr>
            <w:rStyle w:val="24"/>
          </w:rPr>
        </w:pPr>
        <w:r>
          <w:rPr>
            <w:rStyle w:val="24"/>
          </w:rPr>
          <w:fldChar w:fldCharType="begin"/>
        </w:r>
        <w:r>
          <w:rPr>
            <w:rStyle w:val="24"/>
          </w:rPr>
          <w:instrText xml:space="preserve"> PAGE </w:instrText>
        </w:r>
        <w:r>
          <w:rPr>
            <w:rStyle w:val="24"/>
          </w:rPr>
          <w:fldChar w:fldCharType="separate"/>
        </w:r>
        <w:r>
          <w:rPr>
            <w:rStyle w:val="24"/>
          </w:rPr>
          <w:t>1</w:t>
        </w:r>
        <w:r>
          <w:rPr>
            <w:rStyle w:val="24"/>
          </w:rPr>
          <w:fldChar w:fldCharType="end"/>
        </w:r>
      </w:p>
    </w:sdtContent>
  </w:sdt>
  <w:p w14:paraId="5AF64B21">
    <w:pPr>
      <w:pStyle w:val="1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FCCC1">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444"/>
      </w:pPr>
      <w:r>
        <w:separator/>
      </w:r>
    </w:p>
  </w:footnote>
  <w:footnote w:type="continuationSeparator" w:id="5">
    <w:p>
      <w:pPr>
        <w:ind w:firstLine="444"/>
      </w:pPr>
      <w:r>
        <w:continuationSeparator/>
      </w:r>
    </w:p>
  </w:footnote>
  <w:footnote w:id="0">
    <w:p w14:paraId="4CB2D518">
      <w:pPr>
        <w:widowControl/>
        <w:ind w:firstLine="180" w:firstLineChars="100"/>
        <w:jc w:val="left"/>
        <w:rPr>
          <w:rFonts w:eastAsia="楷体"/>
          <w:bCs/>
          <w:sz w:val="18"/>
          <w:szCs w:val="18"/>
        </w:rPr>
      </w:pPr>
      <w:r>
        <w:rPr>
          <w:rFonts w:eastAsia="楷体"/>
          <w:bCs/>
          <w:color w:val="000000"/>
          <w:sz w:val="18"/>
          <w:szCs w:val="18"/>
        </w:rPr>
        <w:footnoteRef/>
      </w:r>
      <w:r>
        <w:rPr>
          <w:rFonts w:eastAsia="楷体"/>
          <w:bCs/>
          <w:color w:val="000000"/>
          <w:sz w:val="18"/>
          <w:szCs w:val="18"/>
        </w:rPr>
        <w:t xml:space="preserve"> 《国家大数据（贵州）综合试验区发展报告2023》</w:t>
      </w:r>
      <w:r>
        <w:rPr>
          <w:rFonts w:hint="eastAsia" w:eastAsia="楷体"/>
          <w:bCs/>
          <w:sz w:val="18"/>
          <w:szCs w:val="18"/>
        </w:rPr>
        <w:t>。</w:t>
      </w:r>
    </w:p>
  </w:footnote>
  <w:footnote w:id="1">
    <w:p w14:paraId="03A5E791">
      <w:pPr>
        <w:pStyle w:val="14"/>
        <w:ind w:firstLine="180" w:firstLineChars="100"/>
        <w:rPr>
          <w:rFonts w:eastAsia="楷体"/>
          <w:bCs/>
        </w:rPr>
      </w:pPr>
      <w:r>
        <w:rPr>
          <w:rFonts w:eastAsia="楷体"/>
          <w:bCs/>
        </w:rPr>
        <w:footnoteRef/>
      </w:r>
      <w:r>
        <w:rPr>
          <w:rFonts w:eastAsia="楷体"/>
          <w:bCs/>
        </w:rPr>
        <w:t xml:space="preserve"> </w:t>
      </w:r>
      <w:r>
        <w:rPr>
          <w:rFonts w:hint="eastAsia" w:eastAsia="楷体"/>
          <w:bCs/>
        </w:rPr>
        <w:t>科产融合评价指标的构建及计算过程见</w:t>
      </w:r>
      <w:r>
        <w:rPr>
          <w:rFonts w:hint="eastAsia" w:eastAsia="楷体"/>
          <w:bCs/>
          <w:lang w:val="en-US" w:eastAsia="zh-CN"/>
        </w:rPr>
        <w:t>本文</w:t>
      </w:r>
      <w:r>
        <w:rPr>
          <w:rFonts w:hint="eastAsia" w:eastAsia="楷体"/>
          <w:bCs/>
        </w:rPr>
        <w:t>第三部分的第一、二小节内容。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39521">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83894">
    <w:pPr>
      <w:pStyle w:val="12"/>
      <w:ind w:firstLine="0" w:firstLineChars="0"/>
      <w:jc w:val="left"/>
      <w:rPr>
        <w:rFonts w:hint="eastAsia"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DEB6D">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D8CD4"/>
    <w:multiLevelType w:val="singleLevel"/>
    <w:tmpl w:val="283D8CD4"/>
    <w:lvl w:ilvl="0" w:tentative="0">
      <w:start w:val="1"/>
      <w:numFmt w:val="decimal"/>
      <w:lvlText w:val="%1."/>
      <w:lvlJc w:val="left"/>
      <w:pPr>
        <w:tabs>
          <w:tab w:val="left" w:pos="420"/>
        </w:tabs>
        <w:ind w:left="0" w:firstLine="0"/>
      </w:pPr>
      <w:rPr>
        <w:rFonts w:hint="default"/>
        <w:i w:val="0"/>
        <w:i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223"/>
  <w:drawingGridVerticalSpacing w:val="166"/>
  <w:displayHorizontalDrawingGridEvery w:val="1"/>
  <w:displayVerticalDrawingGridEvery w:val="1"/>
  <w:noPunctuationKerning w:val="1"/>
  <w:characterSpacingControl w:val="doNotCompress"/>
  <w:footnotePr>
    <w:numFmt w:val="decimalEnclosedCircleChinese"/>
    <w:numRestart w:val="eachPage"/>
    <w:footnote w:id="4"/>
    <w:footnote w:id="5"/>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lOWZmNjFkNDViMTVmMDYzYTU0ZThkODRiZGJjZjcifQ=="/>
  </w:docVars>
  <w:rsids>
    <w:rsidRoot w:val="0085435F"/>
    <w:rsid w:val="000034AF"/>
    <w:rsid w:val="0000608B"/>
    <w:rsid w:val="00012FA9"/>
    <w:rsid w:val="00013381"/>
    <w:rsid w:val="0001402D"/>
    <w:rsid w:val="0001475A"/>
    <w:rsid w:val="00017F13"/>
    <w:rsid w:val="000238D0"/>
    <w:rsid w:val="00024B1F"/>
    <w:rsid w:val="0002569C"/>
    <w:rsid w:val="000257D6"/>
    <w:rsid w:val="00027279"/>
    <w:rsid w:val="00032EC7"/>
    <w:rsid w:val="0003374A"/>
    <w:rsid w:val="00035DF9"/>
    <w:rsid w:val="000416E9"/>
    <w:rsid w:val="00041885"/>
    <w:rsid w:val="0004277F"/>
    <w:rsid w:val="00042D5C"/>
    <w:rsid w:val="0004678D"/>
    <w:rsid w:val="00056B3C"/>
    <w:rsid w:val="00057C92"/>
    <w:rsid w:val="0006097B"/>
    <w:rsid w:val="00061BF9"/>
    <w:rsid w:val="00063350"/>
    <w:rsid w:val="000668F7"/>
    <w:rsid w:val="0008068C"/>
    <w:rsid w:val="00083299"/>
    <w:rsid w:val="000869E3"/>
    <w:rsid w:val="000904DA"/>
    <w:rsid w:val="00094EA6"/>
    <w:rsid w:val="00096F5E"/>
    <w:rsid w:val="000A2FE0"/>
    <w:rsid w:val="000A3197"/>
    <w:rsid w:val="000A4A4D"/>
    <w:rsid w:val="000A5EFA"/>
    <w:rsid w:val="000A74CE"/>
    <w:rsid w:val="000B5E42"/>
    <w:rsid w:val="000B628E"/>
    <w:rsid w:val="000B7E2F"/>
    <w:rsid w:val="000B7F94"/>
    <w:rsid w:val="000C603F"/>
    <w:rsid w:val="000C6A8D"/>
    <w:rsid w:val="000D18AC"/>
    <w:rsid w:val="000D1B47"/>
    <w:rsid w:val="000D2088"/>
    <w:rsid w:val="000D681B"/>
    <w:rsid w:val="000D6A6D"/>
    <w:rsid w:val="000D74B3"/>
    <w:rsid w:val="000D7C7E"/>
    <w:rsid w:val="000E0187"/>
    <w:rsid w:val="000E2175"/>
    <w:rsid w:val="000E6E7E"/>
    <w:rsid w:val="000E783C"/>
    <w:rsid w:val="000F68D8"/>
    <w:rsid w:val="0010099D"/>
    <w:rsid w:val="00101A8A"/>
    <w:rsid w:val="0010470A"/>
    <w:rsid w:val="00105815"/>
    <w:rsid w:val="00105C9A"/>
    <w:rsid w:val="001074B9"/>
    <w:rsid w:val="00107B17"/>
    <w:rsid w:val="00107BAA"/>
    <w:rsid w:val="00112F20"/>
    <w:rsid w:val="00114062"/>
    <w:rsid w:val="001205D8"/>
    <w:rsid w:val="0012173D"/>
    <w:rsid w:val="00122AFC"/>
    <w:rsid w:val="00122BBA"/>
    <w:rsid w:val="00130280"/>
    <w:rsid w:val="0013043F"/>
    <w:rsid w:val="00131578"/>
    <w:rsid w:val="00132D6F"/>
    <w:rsid w:val="00133AA5"/>
    <w:rsid w:val="001400B6"/>
    <w:rsid w:val="0014160F"/>
    <w:rsid w:val="00141B46"/>
    <w:rsid w:val="00141D45"/>
    <w:rsid w:val="00141DCC"/>
    <w:rsid w:val="00147E9D"/>
    <w:rsid w:val="0015031C"/>
    <w:rsid w:val="00154326"/>
    <w:rsid w:val="001549C7"/>
    <w:rsid w:val="001560E3"/>
    <w:rsid w:val="00156E59"/>
    <w:rsid w:val="00156F12"/>
    <w:rsid w:val="00157533"/>
    <w:rsid w:val="00160C16"/>
    <w:rsid w:val="00161C70"/>
    <w:rsid w:val="00162211"/>
    <w:rsid w:val="00165F3E"/>
    <w:rsid w:val="0016752F"/>
    <w:rsid w:val="00171E77"/>
    <w:rsid w:val="00172C73"/>
    <w:rsid w:val="00174432"/>
    <w:rsid w:val="00174630"/>
    <w:rsid w:val="001748DE"/>
    <w:rsid w:val="001772B1"/>
    <w:rsid w:val="0017797C"/>
    <w:rsid w:val="001902A5"/>
    <w:rsid w:val="00195217"/>
    <w:rsid w:val="00195C42"/>
    <w:rsid w:val="001A0114"/>
    <w:rsid w:val="001A03AF"/>
    <w:rsid w:val="001A120C"/>
    <w:rsid w:val="001A1A25"/>
    <w:rsid w:val="001A45B0"/>
    <w:rsid w:val="001A5C65"/>
    <w:rsid w:val="001B01DC"/>
    <w:rsid w:val="001B1432"/>
    <w:rsid w:val="001B6DF9"/>
    <w:rsid w:val="001B7C14"/>
    <w:rsid w:val="001C06EC"/>
    <w:rsid w:val="001C072F"/>
    <w:rsid w:val="001C08C0"/>
    <w:rsid w:val="001C52C1"/>
    <w:rsid w:val="001D6335"/>
    <w:rsid w:val="001D77DF"/>
    <w:rsid w:val="001E0C1D"/>
    <w:rsid w:val="001E1CD4"/>
    <w:rsid w:val="001E2BD6"/>
    <w:rsid w:val="001E2FC8"/>
    <w:rsid w:val="001E3FF9"/>
    <w:rsid w:val="001E5D7E"/>
    <w:rsid w:val="001E6A58"/>
    <w:rsid w:val="001E7982"/>
    <w:rsid w:val="001F251C"/>
    <w:rsid w:val="001F2BCD"/>
    <w:rsid w:val="001F602F"/>
    <w:rsid w:val="00201232"/>
    <w:rsid w:val="00202961"/>
    <w:rsid w:val="00203DFF"/>
    <w:rsid w:val="002051CA"/>
    <w:rsid w:val="00207F53"/>
    <w:rsid w:val="00211F1A"/>
    <w:rsid w:val="00213C30"/>
    <w:rsid w:val="002170FD"/>
    <w:rsid w:val="0022054E"/>
    <w:rsid w:val="00225B6B"/>
    <w:rsid w:val="0022646C"/>
    <w:rsid w:val="00227B47"/>
    <w:rsid w:val="0023179F"/>
    <w:rsid w:val="00232054"/>
    <w:rsid w:val="00232809"/>
    <w:rsid w:val="00233C44"/>
    <w:rsid w:val="00234B37"/>
    <w:rsid w:val="0023522B"/>
    <w:rsid w:val="00254650"/>
    <w:rsid w:val="002556D9"/>
    <w:rsid w:val="00257A46"/>
    <w:rsid w:val="0026176D"/>
    <w:rsid w:val="00267019"/>
    <w:rsid w:val="00273223"/>
    <w:rsid w:val="002736FD"/>
    <w:rsid w:val="00276574"/>
    <w:rsid w:val="00280CA6"/>
    <w:rsid w:val="00282E23"/>
    <w:rsid w:val="00283231"/>
    <w:rsid w:val="00284DCB"/>
    <w:rsid w:val="002866E3"/>
    <w:rsid w:val="00290F59"/>
    <w:rsid w:val="002918F2"/>
    <w:rsid w:val="00297BAA"/>
    <w:rsid w:val="002A2F2B"/>
    <w:rsid w:val="002A6C69"/>
    <w:rsid w:val="002A6EC5"/>
    <w:rsid w:val="002B0B9C"/>
    <w:rsid w:val="002B3EEF"/>
    <w:rsid w:val="002B739B"/>
    <w:rsid w:val="002C0963"/>
    <w:rsid w:val="002C1264"/>
    <w:rsid w:val="002C258F"/>
    <w:rsid w:val="002C2AD5"/>
    <w:rsid w:val="002C47D7"/>
    <w:rsid w:val="002C5913"/>
    <w:rsid w:val="002C687E"/>
    <w:rsid w:val="002C7543"/>
    <w:rsid w:val="002D02F0"/>
    <w:rsid w:val="002D0A0B"/>
    <w:rsid w:val="002D29E9"/>
    <w:rsid w:val="002E36E0"/>
    <w:rsid w:val="002E5246"/>
    <w:rsid w:val="002F1DE8"/>
    <w:rsid w:val="002F71EB"/>
    <w:rsid w:val="002F74C5"/>
    <w:rsid w:val="00301BA9"/>
    <w:rsid w:val="00302A4A"/>
    <w:rsid w:val="00302E48"/>
    <w:rsid w:val="00306561"/>
    <w:rsid w:val="00311B04"/>
    <w:rsid w:val="003155C1"/>
    <w:rsid w:val="00315914"/>
    <w:rsid w:val="003209A7"/>
    <w:rsid w:val="003211B4"/>
    <w:rsid w:val="003236B1"/>
    <w:rsid w:val="003268F8"/>
    <w:rsid w:val="0032727D"/>
    <w:rsid w:val="003301E5"/>
    <w:rsid w:val="00334661"/>
    <w:rsid w:val="0033571B"/>
    <w:rsid w:val="003418A6"/>
    <w:rsid w:val="0034235F"/>
    <w:rsid w:val="003438D7"/>
    <w:rsid w:val="003460F3"/>
    <w:rsid w:val="003465AC"/>
    <w:rsid w:val="003502FA"/>
    <w:rsid w:val="00351062"/>
    <w:rsid w:val="00351832"/>
    <w:rsid w:val="00357EDC"/>
    <w:rsid w:val="003645D2"/>
    <w:rsid w:val="003676B3"/>
    <w:rsid w:val="00372FAA"/>
    <w:rsid w:val="00373299"/>
    <w:rsid w:val="00374CB8"/>
    <w:rsid w:val="00375C95"/>
    <w:rsid w:val="00377F91"/>
    <w:rsid w:val="00380D3A"/>
    <w:rsid w:val="00381EEC"/>
    <w:rsid w:val="00384AAA"/>
    <w:rsid w:val="00385350"/>
    <w:rsid w:val="003857DB"/>
    <w:rsid w:val="003868D0"/>
    <w:rsid w:val="00386C50"/>
    <w:rsid w:val="00386FB7"/>
    <w:rsid w:val="00387F90"/>
    <w:rsid w:val="00390DD2"/>
    <w:rsid w:val="003926F6"/>
    <w:rsid w:val="003968F4"/>
    <w:rsid w:val="00397263"/>
    <w:rsid w:val="003A093F"/>
    <w:rsid w:val="003A2416"/>
    <w:rsid w:val="003A7769"/>
    <w:rsid w:val="003B068A"/>
    <w:rsid w:val="003B14B6"/>
    <w:rsid w:val="003B5151"/>
    <w:rsid w:val="003C1092"/>
    <w:rsid w:val="003C4E8D"/>
    <w:rsid w:val="003C78F8"/>
    <w:rsid w:val="003D20C8"/>
    <w:rsid w:val="003D31C9"/>
    <w:rsid w:val="003E4623"/>
    <w:rsid w:val="003E7120"/>
    <w:rsid w:val="003F379F"/>
    <w:rsid w:val="003F4D61"/>
    <w:rsid w:val="003F5A1B"/>
    <w:rsid w:val="004003F0"/>
    <w:rsid w:val="00400D80"/>
    <w:rsid w:val="004075CC"/>
    <w:rsid w:val="0040778F"/>
    <w:rsid w:val="00411BC1"/>
    <w:rsid w:val="00412BD3"/>
    <w:rsid w:val="004144DB"/>
    <w:rsid w:val="004146EB"/>
    <w:rsid w:val="00416845"/>
    <w:rsid w:val="00420DB0"/>
    <w:rsid w:val="00422028"/>
    <w:rsid w:val="00424CB9"/>
    <w:rsid w:val="00427AE8"/>
    <w:rsid w:val="004329CF"/>
    <w:rsid w:val="00432E14"/>
    <w:rsid w:val="00435AD1"/>
    <w:rsid w:val="004372E1"/>
    <w:rsid w:val="0043779F"/>
    <w:rsid w:val="00440A05"/>
    <w:rsid w:val="0044171C"/>
    <w:rsid w:val="00443366"/>
    <w:rsid w:val="0044694A"/>
    <w:rsid w:val="004520B9"/>
    <w:rsid w:val="00452694"/>
    <w:rsid w:val="00454F21"/>
    <w:rsid w:val="0045560A"/>
    <w:rsid w:val="00456F71"/>
    <w:rsid w:val="004624D0"/>
    <w:rsid w:val="00462BD9"/>
    <w:rsid w:val="0046546E"/>
    <w:rsid w:val="0046559D"/>
    <w:rsid w:val="004712B1"/>
    <w:rsid w:val="004774CF"/>
    <w:rsid w:val="004775FA"/>
    <w:rsid w:val="00477A55"/>
    <w:rsid w:val="00480CF3"/>
    <w:rsid w:val="00484356"/>
    <w:rsid w:val="004904A5"/>
    <w:rsid w:val="00495CD0"/>
    <w:rsid w:val="0049608A"/>
    <w:rsid w:val="004A2E8D"/>
    <w:rsid w:val="004A4CF4"/>
    <w:rsid w:val="004A7FED"/>
    <w:rsid w:val="004C026F"/>
    <w:rsid w:val="004C03E7"/>
    <w:rsid w:val="004C0525"/>
    <w:rsid w:val="004C068D"/>
    <w:rsid w:val="004D4619"/>
    <w:rsid w:val="004E0210"/>
    <w:rsid w:val="004E13DF"/>
    <w:rsid w:val="004E2944"/>
    <w:rsid w:val="004E415F"/>
    <w:rsid w:val="004E7FD7"/>
    <w:rsid w:val="004F1F62"/>
    <w:rsid w:val="004F2A8C"/>
    <w:rsid w:val="004F315A"/>
    <w:rsid w:val="004F3CA2"/>
    <w:rsid w:val="004F5405"/>
    <w:rsid w:val="00502CEA"/>
    <w:rsid w:val="00511883"/>
    <w:rsid w:val="00512500"/>
    <w:rsid w:val="00512BC9"/>
    <w:rsid w:val="00513F52"/>
    <w:rsid w:val="00515437"/>
    <w:rsid w:val="00517E8F"/>
    <w:rsid w:val="005217F0"/>
    <w:rsid w:val="00521907"/>
    <w:rsid w:val="00524404"/>
    <w:rsid w:val="005312FC"/>
    <w:rsid w:val="00532FE2"/>
    <w:rsid w:val="00534D8B"/>
    <w:rsid w:val="00540913"/>
    <w:rsid w:val="00541250"/>
    <w:rsid w:val="005430EB"/>
    <w:rsid w:val="005507B4"/>
    <w:rsid w:val="0055137C"/>
    <w:rsid w:val="00552943"/>
    <w:rsid w:val="005539A5"/>
    <w:rsid w:val="00553AE9"/>
    <w:rsid w:val="00555F29"/>
    <w:rsid w:val="00555FC3"/>
    <w:rsid w:val="0055640D"/>
    <w:rsid w:val="00557984"/>
    <w:rsid w:val="00561E04"/>
    <w:rsid w:val="00563FDC"/>
    <w:rsid w:val="005724A7"/>
    <w:rsid w:val="00580AC8"/>
    <w:rsid w:val="00582D77"/>
    <w:rsid w:val="00586932"/>
    <w:rsid w:val="00590EF8"/>
    <w:rsid w:val="00590FB4"/>
    <w:rsid w:val="00596767"/>
    <w:rsid w:val="005A3CE7"/>
    <w:rsid w:val="005A7A5A"/>
    <w:rsid w:val="005B63F7"/>
    <w:rsid w:val="005C3021"/>
    <w:rsid w:val="005C3CC0"/>
    <w:rsid w:val="005C6970"/>
    <w:rsid w:val="005C7293"/>
    <w:rsid w:val="005C7CAA"/>
    <w:rsid w:val="005D096C"/>
    <w:rsid w:val="005D2131"/>
    <w:rsid w:val="005D2416"/>
    <w:rsid w:val="005D37C0"/>
    <w:rsid w:val="005D50EC"/>
    <w:rsid w:val="005E1BC3"/>
    <w:rsid w:val="005E385B"/>
    <w:rsid w:val="005E6AB1"/>
    <w:rsid w:val="005E6FD2"/>
    <w:rsid w:val="005F0B7C"/>
    <w:rsid w:val="00601AF5"/>
    <w:rsid w:val="00602A29"/>
    <w:rsid w:val="00605BA1"/>
    <w:rsid w:val="00605F51"/>
    <w:rsid w:val="00607CFD"/>
    <w:rsid w:val="006122DA"/>
    <w:rsid w:val="006164A7"/>
    <w:rsid w:val="006168FD"/>
    <w:rsid w:val="0062001B"/>
    <w:rsid w:val="0062285F"/>
    <w:rsid w:val="006253F6"/>
    <w:rsid w:val="006271A4"/>
    <w:rsid w:val="00630A77"/>
    <w:rsid w:val="00633325"/>
    <w:rsid w:val="006338CC"/>
    <w:rsid w:val="00633F20"/>
    <w:rsid w:val="00634A47"/>
    <w:rsid w:val="00637439"/>
    <w:rsid w:val="006413AC"/>
    <w:rsid w:val="0064268B"/>
    <w:rsid w:val="0064379D"/>
    <w:rsid w:val="00650F9B"/>
    <w:rsid w:val="0065239A"/>
    <w:rsid w:val="00655051"/>
    <w:rsid w:val="00655A6C"/>
    <w:rsid w:val="00663F2E"/>
    <w:rsid w:val="0066689A"/>
    <w:rsid w:val="006731D9"/>
    <w:rsid w:val="006734C3"/>
    <w:rsid w:val="00673D70"/>
    <w:rsid w:val="00676396"/>
    <w:rsid w:val="006807FC"/>
    <w:rsid w:val="006859A0"/>
    <w:rsid w:val="0068789C"/>
    <w:rsid w:val="006926DA"/>
    <w:rsid w:val="006A0332"/>
    <w:rsid w:val="006A27A3"/>
    <w:rsid w:val="006A2F4E"/>
    <w:rsid w:val="006A5319"/>
    <w:rsid w:val="006A6A85"/>
    <w:rsid w:val="006A79CF"/>
    <w:rsid w:val="006B41B7"/>
    <w:rsid w:val="006B42EC"/>
    <w:rsid w:val="006B562D"/>
    <w:rsid w:val="006B772F"/>
    <w:rsid w:val="006C458D"/>
    <w:rsid w:val="006C63EC"/>
    <w:rsid w:val="006C72D9"/>
    <w:rsid w:val="006C74E0"/>
    <w:rsid w:val="006D2809"/>
    <w:rsid w:val="006D68F3"/>
    <w:rsid w:val="006E456C"/>
    <w:rsid w:val="006F21C7"/>
    <w:rsid w:val="006F5970"/>
    <w:rsid w:val="0070076F"/>
    <w:rsid w:val="00706C68"/>
    <w:rsid w:val="007101CF"/>
    <w:rsid w:val="00710F14"/>
    <w:rsid w:val="00714F9F"/>
    <w:rsid w:val="007172D6"/>
    <w:rsid w:val="00720FD2"/>
    <w:rsid w:val="00722734"/>
    <w:rsid w:val="00725BC8"/>
    <w:rsid w:val="00726EC9"/>
    <w:rsid w:val="00731CE6"/>
    <w:rsid w:val="00731E08"/>
    <w:rsid w:val="007322A6"/>
    <w:rsid w:val="00733E07"/>
    <w:rsid w:val="007341CC"/>
    <w:rsid w:val="00735853"/>
    <w:rsid w:val="00735F99"/>
    <w:rsid w:val="00744622"/>
    <w:rsid w:val="00745372"/>
    <w:rsid w:val="00745C05"/>
    <w:rsid w:val="00750573"/>
    <w:rsid w:val="00751370"/>
    <w:rsid w:val="00751BC0"/>
    <w:rsid w:val="00760770"/>
    <w:rsid w:val="00762433"/>
    <w:rsid w:val="007629E1"/>
    <w:rsid w:val="0076452B"/>
    <w:rsid w:val="00765A10"/>
    <w:rsid w:val="00771F28"/>
    <w:rsid w:val="007731EF"/>
    <w:rsid w:val="007739A6"/>
    <w:rsid w:val="0077565C"/>
    <w:rsid w:val="00775C06"/>
    <w:rsid w:val="0078282B"/>
    <w:rsid w:val="00782CD3"/>
    <w:rsid w:val="00783DE0"/>
    <w:rsid w:val="007863E7"/>
    <w:rsid w:val="007873AD"/>
    <w:rsid w:val="007938DD"/>
    <w:rsid w:val="00793EE5"/>
    <w:rsid w:val="007954A6"/>
    <w:rsid w:val="0079754D"/>
    <w:rsid w:val="00797E9E"/>
    <w:rsid w:val="007A091D"/>
    <w:rsid w:val="007A0A60"/>
    <w:rsid w:val="007A47D5"/>
    <w:rsid w:val="007A7F6B"/>
    <w:rsid w:val="007B0A77"/>
    <w:rsid w:val="007B132F"/>
    <w:rsid w:val="007B32F9"/>
    <w:rsid w:val="007C0D92"/>
    <w:rsid w:val="007C26F6"/>
    <w:rsid w:val="007C3073"/>
    <w:rsid w:val="007C3B63"/>
    <w:rsid w:val="007C3D25"/>
    <w:rsid w:val="007C3EDB"/>
    <w:rsid w:val="007D0EB6"/>
    <w:rsid w:val="007D400C"/>
    <w:rsid w:val="007D609A"/>
    <w:rsid w:val="007D6B6B"/>
    <w:rsid w:val="007D7D27"/>
    <w:rsid w:val="007E0794"/>
    <w:rsid w:val="007E474C"/>
    <w:rsid w:val="007F14C7"/>
    <w:rsid w:val="007F2656"/>
    <w:rsid w:val="00801704"/>
    <w:rsid w:val="008017AA"/>
    <w:rsid w:val="00801A2C"/>
    <w:rsid w:val="00802741"/>
    <w:rsid w:val="008031D8"/>
    <w:rsid w:val="00803D63"/>
    <w:rsid w:val="0080467F"/>
    <w:rsid w:val="00804997"/>
    <w:rsid w:val="00804A29"/>
    <w:rsid w:val="008073AD"/>
    <w:rsid w:val="008110C5"/>
    <w:rsid w:val="00814CB5"/>
    <w:rsid w:val="0081593A"/>
    <w:rsid w:val="00816AD0"/>
    <w:rsid w:val="00817BD2"/>
    <w:rsid w:val="00820AF1"/>
    <w:rsid w:val="008304E8"/>
    <w:rsid w:val="00830CD3"/>
    <w:rsid w:val="00831B69"/>
    <w:rsid w:val="00831DAB"/>
    <w:rsid w:val="008342A5"/>
    <w:rsid w:val="008360F3"/>
    <w:rsid w:val="00841330"/>
    <w:rsid w:val="008454F6"/>
    <w:rsid w:val="008456CB"/>
    <w:rsid w:val="00846718"/>
    <w:rsid w:val="00847012"/>
    <w:rsid w:val="00847D76"/>
    <w:rsid w:val="00851756"/>
    <w:rsid w:val="00852221"/>
    <w:rsid w:val="0085270D"/>
    <w:rsid w:val="00853AFA"/>
    <w:rsid w:val="0085435F"/>
    <w:rsid w:val="00860447"/>
    <w:rsid w:val="00863F17"/>
    <w:rsid w:val="008654EC"/>
    <w:rsid w:val="00865DCD"/>
    <w:rsid w:val="0087016F"/>
    <w:rsid w:val="008712A4"/>
    <w:rsid w:val="00873093"/>
    <w:rsid w:val="008736D5"/>
    <w:rsid w:val="008739B0"/>
    <w:rsid w:val="008770FC"/>
    <w:rsid w:val="008808FC"/>
    <w:rsid w:val="00882422"/>
    <w:rsid w:val="00883799"/>
    <w:rsid w:val="008878AC"/>
    <w:rsid w:val="00890251"/>
    <w:rsid w:val="00891CEF"/>
    <w:rsid w:val="008934EA"/>
    <w:rsid w:val="00893AEC"/>
    <w:rsid w:val="00894A23"/>
    <w:rsid w:val="00896D7C"/>
    <w:rsid w:val="008A02EF"/>
    <w:rsid w:val="008A24AB"/>
    <w:rsid w:val="008A2C70"/>
    <w:rsid w:val="008A674C"/>
    <w:rsid w:val="008B2BD5"/>
    <w:rsid w:val="008B2F55"/>
    <w:rsid w:val="008B3B6F"/>
    <w:rsid w:val="008B4897"/>
    <w:rsid w:val="008B4B15"/>
    <w:rsid w:val="008C2979"/>
    <w:rsid w:val="008D1143"/>
    <w:rsid w:val="008D496B"/>
    <w:rsid w:val="008D579D"/>
    <w:rsid w:val="008D5F0D"/>
    <w:rsid w:val="008D7F94"/>
    <w:rsid w:val="008E1A59"/>
    <w:rsid w:val="008E21A6"/>
    <w:rsid w:val="008E21B5"/>
    <w:rsid w:val="008E2521"/>
    <w:rsid w:val="008E34AF"/>
    <w:rsid w:val="008E417C"/>
    <w:rsid w:val="008E590A"/>
    <w:rsid w:val="008F10A0"/>
    <w:rsid w:val="0090049E"/>
    <w:rsid w:val="0090137F"/>
    <w:rsid w:val="0090613A"/>
    <w:rsid w:val="00906313"/>
    <w:rsid w:val="00906C7F"/>
    <w:rsid w:val="00910131"/>
    <w:rsid w:val="0091049F"/>
    <w:rsid w:val="00911341"/>
    <w:rsid w:val="0091452D"/>
    <w:rsid w:val="009160FD"/>
    <w:rsid w:val="009170AC"/>
    <w:rsid w:val="00920121"/>
    <w:rsid w:val="009239FD"/>
    <w:rsid w:val="009241DF"/>
    <w:rsid w:val="0092572D"/>
    <w:rsid w:val="00926247"/>
    <w:rsid w:val="0092753B"/>
    <w:rsid w:val="00932C9C"/>
    <w:rsid w:val="00934B01"/>
    <w:rsid w:val="00936541"/>
    <w:rsid w:val="00937236"/>
    <w:rsid w:val="00937C06"/>
    <w:rsid w:val="0094134B"/>
    <w:rsid w:val="0094323C"/>
    <w:rsid w:val="009435A5"/>
    <w:rsid w:val="00944CA4"/>
    <w:rsid w:val="00952821"/>
    <w:rsid w:val="00952E79"/>
    <w:rsid w:val="00955661"/>
    <w:rsid w:val="00957AFA"/>
    <w:rsid w:val="00961DFD"/>
    <w:rsid w:val="00971999"/>
    <w:rsid w:val="009733F5"/>
    <w:rsid w:val="00973CAA"/>
    <w:rsid w:val="00976865"/>
    <w:rsid w:val="0099285A"/>
    <w:rsid w:val="00993684"/>
    <w:rsid w:val="009956C8"/>
    <w:rsid w:val="009A0A72"/>
    <w:rsid w:val="009A0E8B"/>
    <w:rsid w:val="009A31D7"/>
    <w:rsid w:val="009A5747"/>
    <w:rsid w:val="009A652A"/>
    <w:rsid w:val="009B1C80"/>
    <w:rsid w:val="009B5C6B"/>
    <w:rsid w:val="009C3000"/>
    <w:rsid w:val="009D355C"/>
    <w:rsid w:val="009D39B6"/>
    <w:rsid w:val="009D7C38"/>
    <w:rsid w:val="009E2EC3"/>
    <w:rsid w:val="009E4411"/>
    <w:rsid w:val="009E5102"/>
    <w:rsid w:val="009E61CD"/>
    <w:rsid w:val="009F0831"/>
    <w:rsid w:val="009F0FE2"/>
    <w:rsid w:val="009F3A02"/>
    <w:rsid w:val="00A012ED"/>
    <w:rsid w:val="00A05073"/>
    <w:rsid w:val="00A07B3B"/>
    <w:rsid w:val="00A14C7C"/>
    <w:rsid w:val="00A16455"/>
    <w:rsid w:val="00A172C2"/>
    <w:rsid w:val="00A17903"/>
    <w:rsid w:val="00A20E13"/>
    <w:rsid w:val="00A23638"/>
    <w:rsid w:val="00A236C9"/>
    <w:rsid w:val="00A24533"/>
    <w:rsid w:val="00A27825"/>
    <w:rsid w:val="00A27A96"/>
    <w:rsid w:val="00A326C7"/>
    <w:rsid w:val="00A3369C"/>
    <w:rsid w:val="00A336FA"/>
    <w:rsid w:val="00A33CC7"/>
    <w:rsid w:val="00A34DCD"/>
    <w:rsid w:val="00A45D1B"/>
    <w:rsid w:val="00A46598"/>
    <w:rsid w:val="00A521ED"/>
    <w:rsid w:val="00A53F21"/>
    <w:rsid w:val="00A5483A"/>
    <w:rsid w:val="00A54DD5"/>
    <w:rsid w:val="00A55D97"/>
    <w:rsid w:val="00A606FC"/>
    <w:rsid w:val="00A629D8"/>
    <w:rsid w:val="00A639E4"/>
    <w:rsid w:val="00A647D4"/>
    <w:rsid w:val="00A6775B"/>
    <w:rsid w:val="00A71004"/>
    <w:rsid w:val="00A716F6"/>
    <w:rsid w:val="00A7209E"/>
    <w:rsid w:val="00A728F8"/>
    <w:rsid w:val="00A7597D"/>
    <w:rsid w:val="00A801F8"/>
    <w:rsid w:val="00A8579A"/>
    <w:rsid w:val="00A864E4"/>
    <w:rsid w:val="00A9249D"/>
    <w:rsid w:val="00A92B2D"/>
    <w:rsid w:val="00A96113"/>
    <w:rsid w:val="00AA2E3E"/>
    <w:rsid w:val="00AA3C1B"/>
    <w:rsid w:val="00AA682B"/>
    <w:rsid w:val="00AA73F4"/>
    <w:rsid w:val="00AB05AC"/>
    <w:rsid w:val="00AB1773"/>
    <w:rsid w:val="00AB17B4"/>
    <w:rsid w:val="00AB3A5F"/>
    <w:rsid w:val="00AB45D4"/>
    <w:rsid w:val="00AC196D"/>
    <w:rsid w:val="00AC6953"/>
    <w:rsid w:val="00AD0719"/>
    <w:rsid w:val="00AD0979"/>
    <w:rsid w:val="00AD24B9"/>
    <w:rsid w:val="00AD34E8"/>
    <w:rsid w:val="00AD3D36"/>
    <w:rsid w:val="00AD4776"/>
    <w:rsid w:val="00AE3E2C"/>
    <w:rsid w:val="00AE5CF6"/>
    <w:rsid w:val="00AF19BD"/>
    <w:rsid w:val="00AF7B18"/>
    <w:rsid w:val="00B00926"/>
    <w:rsid w:val="00B02AC0"/>
    <w:rsid w:val="00B02D73"/>
    <w:rsid w:val="00B06015"/>
    <w:rsid w:val="00B07E1D"/>
    <w:rsid w:val="00B07E27"/>
    <w:rsid w:val="00B25A3A"/>
    <w:rsid w:val="00B31CE5"/>
    <w:rsid w:val="00B3591C"/>
    <w:rsid w:val="00B37CE0"/>
    <w:rsid w:val="00B454CB"/>
    <w:rsid w:val="00B516B2"/>
    <w:rsid w:val="00B53550"/>
    <w:rsid w:val="00B55817"/>
    <w:rsid w:val="00B56637"/>
    <w:rsid w:val="00B57AF6"/>
    <w:rsid w:val="00B57C25"/>
    <w:rsid w:val="00B601FE"/>
    <w:rsid w:val="00B64996"/>
    <w:rsid w:val="00B650D6"/>
    <w:rsid w:val="00B65FAD"/>
    <w:rsid w:val="00B67771"/>
    <w:rsid w:val="00B70C1F"/>
    <w:rsid w:val="00B7385A"/>
    <w:rsid w:val="00B80CBD"/>
    <w:rsid w:val="00B83081"/>
    <w:rsid w:val="00B8443A"/>
    <w:rsid w:val="00B8626A"/>
    <w:rsid w:val="00B86484"/>
    <w:rsid w:val="00B87F94"/>
    <w:rsid w:val="00B92BA2"/>
    <w:rsid w:val="00B930AD"/>
    <w:rsid w:val="00BA3FCD"/>
    <w:rsid w:val="00BA4AF2"/>
    <w:rsid w:val="00BA6D18"/>
    <w:rsid w:val="00BA7AED"/>
    <w:rsid w:val="00BB09FB"/>
    <w:rsid w:val="00BC2306"/>
    <w:rsid w:val="00BC28F7"/>
    <w:rsid w:val="00BC4BBC"/>
    <w:rsid w:val="00BC6F20"/>
    <w:rsid w:val="00BD1A8F"/>
    <w:rsid w:val="00BD6924"/>
    <w:rsid w:val="00BE365F"/>
    <w:rsid w:val="00BF1C3F"/>
    <w:rsid w:val="00BF7AF8"/>
    <w:rsid w:val="00C01CE3"/>
    <w:rsid w:val="00C03846"/>
    <w:rsid w:val="00C03DDF"/>
    <w:rsid w:val="00C04034"/>
    <w:rsid w:val="00C04879"/>
    <w:rsid w:val="00C06F7A"/>
    <w:rsid w:val="00C20721"/>
    <w:rsid w:val="00C20821"/>
    <w:rsid w:val="00C2166D"/>
    <w:rsid w:val="00C22478"/>
    <w:rsid w:val="00C226C9"/>
    <w:rsid w:val="00C22CBA"/>
    <w:rsid w:val="00C23179"/>
    <w:rsid w:val="00C237AA"/>
    <w:rsid w:val="00C24A99"/>
    <w:rsid w:val="00C26694"/>
    <w:rsid w:val="00C34629"/>
    <w:rsid w:val="00C36552"/>
    <w:rsid w:val="00C41C4E"/>
    <w:rsid w:val="00C42935"/>
    <w:rsid w:val="00C42968"/>
    <w:rsid w:val="00C446B0"/>
    <w:rsid w:val="00C46450"/>
    <w:rsid w:val="00C47119"/>
    <w:rsid w:val="00C4793F"/>
    <w:rsid w:val="00C50B26"/>
    <w:rsid w:val="00C52DF5"/>
    <w:rsid w:val="00C53DB2"/>
    <w:rsid w:val="00C55993"/>
    <w:rsid w:val="00C55DB9"/>
    <w:rsid w:val="00C55F4D"/>
    <w:rsid w:val="00C563FB"/>
    <w:rsid w:val="00C56521"/>
    <w:rsid w:val="00C57FDD"/>
    <w:rsid w:val="00C61FE5"/>
    <w:rsid w:val="00C62407"/>
    <w:rsid w:val="00C624B3"/>
    <w:rsid w:val="00C62F36"/>
    <w:rsid w:val="00C646E1"/>
    <w:rsid w:val="00C64876"/>
    <w:rsid w:val="00C66B35"/>
    <w:rsid w:val="00C67050"/>
    <w:rsid w:val="00C736D5"/>
    <w:rsid w:val="00C74218"/>
    <w:rsid w:val="00C76799"/>
    <w:rsid w:val="00C76F06"/>
    <w:rsid w:val="00C77011"/>
    <w:rsid w:val="00C80E68"/>
    <w:rsid w:val="00C83A0C"/>
    <w:rsid w:val="00C83F21"/>
    <w:rsid w:val="00C84AF7"/>
    <w:rsid w:val="00C93074"/>
    <w:rsid w:val="00C9592D"/>
    <w:rsid w:val="00C972A5"/>
    <w:rsid w:val="00C97844"/>
    <w:rsid w:val="00CA7C84"/>
    <w:rsid w:val="00CB0230"/>
    <w:rsid w:val="00CB5264"/>
    <w:rsid w:val="00CB5FFF"/>
    <w:rsid w:val="00CD029F"/>
    <w:rsid w:val="00CD177E"/>
    <w:rsid w:val="00CD3E59"/>
    <w:rsid w:val="00CD72AE"/>
    <w:rsid w:val="00CD769C"/>
    <w:rsid w:val="00CE0E20"/>
    <w:rsid w:val="00CE10E1"/>
    <w:rsid w:val="00CE5724"/>
    <w:rsid w:val="00CE5A6A"/>
    <w:rsid w:val="00CE5B35"/>
    <w:rsid w:val="00CF2E3D"/>
    <w:rsid w:val="00D14CB1"/>
    <w:rsid w:val="00D17D6C"/>
    <w:rsid w:val="00D231FB"/>
    <w:rsid w:val="00D304E6"/>
    <w:rsid w:val="00D317A8"/>
    <w:rsid w:val="00D32DFD"/>
    <w:rsid w:val="00D33CA3"/>
    <w:rsid w:val="00D34053"/>
    <w:rsid w:val="00D36E5A"/>
    <w:rsid w:val="00D402D7"/>
    <w:rsid w:val="00D47A3E"/>
    <w:rsid w:val="00D5033C"/>
    <w:rsid w:val="00D574E1"/>
    <w:rsid w:val="00D6038F"/>
    <w:rsid w:val="00D6302A"/>
    <w:rsid w:val="00D663F7"/>
    <w:rsid w:val="00D7061F"/>
    <w:rsid w:val="00D72729"/>
    <w:rsid w:val="00D739D4"/>
    <w:rsid w:val="00D746D9"/>
    <w:rsid w:val="00D76B56"/>
    <w:rsid w:val="00D76B79"/>
    <w:rsid w:val="00D77DFC"/>
    <w:rsid w:val="00D83A39"/>
    <w:rsid w:val="00D90162"/>
    <w:rsid w:val="00D9020A"/>
    <w:rsid w:val="00D91A0B"/>
    <w:rsid w:val="00D94E1A"/>
    <w:rsid w:val="00D968FD"/>
    <w:rsid w:val="00DA109A"/>
    <w:rsid w:val="00DA55E0"/>
    <w:rsid w:val="00DA5C0E"/>
    <w:rsid w:val="00DA5CB8"/>
    <w:rsid w:val="00DA63DB"/>
    <w:rsid w:val="00DA687E"/>
    <w:rsid w:val="00DA7472"/>
    <w:rsid w:val="00DB11D4"/>
    <w:rsid w:val="00DB4385"/>
    <w:rsid w:val="00DB5B8B"/>
    <w:rsid w:val="00DB5E5E"/>
    <w:rsid w:val="00DB684C"/>
    <w:rsid w:val="00DC0710"/>
    <w:rsid w:val="00DC1084"/>
    <w:rsid w:val="00DC2E88"/>
    <w:rsid w:val="00DC4420"/>
    <w:rsid w:val="00DC4B1B"/>
    <w:rsid w:val="00DC5438"/>
    <w:rsid w:val="00DC557F"/>
    <w:rsid w:val="00DC6193"/>
    <w:rsid w:val="00DC67C1"/>
    <w:rsid w:val="00DC6F70"/>
    <w:rsid w:val="00DD3B6E"/>
    <w:rsid w:val="00DD4877"/>
    <w:rsid w:val="00DD634E"/>
    <w:rsid w:val="00DD7081"/>
    <w:rsid w:val="00DE0107"/>
    <w:rsid w:val="00DE2B95"/>
    <w:rsid w:val="00DE2D6A"/>
    <w:rsid w:val="00DE3C79"/>
    <w:rsid w:val="00DE6BDA"/>
    <w:rsid w:val="00DE7CA9"/>
    <w:rsid w:val="00DF0CEF"/>
    <w:rsid w:val="00DF297E"/>
    <w:rsid w:val="00DF53BB"/>
    <w:rsid w:val="00E01968"/>
    <w:rsid w:val="00E01ED3"/>
    <w:rsid w:val="00E0651E"/>
    <w:rsid w:val="00E072B1"/>
    <w:rsid w:val="00E110B5"/>
    <w:rsid w:val="00E11A17"/>
    <w:rsid w:val="00E17050"/>
    <w:rsid w:val="00E3500E"/>
    <w:rsid w:val="00E36FB3"/>
    <w:rsid w:val="00E4076D"/>
    <w:rsid w:val="00E4202D"/>
    <w:rsid w:val="00E47B7F"/>
    <w:rsid w:val="00E47F71"/>
    <w:rsid w:val="00E50D29"/>
    <w:rsid w:val="00E53721"/>
    <w:rsid w:val="00E53C73"/>
    <w:rsid w:val="00E61802"/>
    <w:rsid w:val="00E64123"/>
    <w:rsid w:val="00E6548B"/>
    <w:rsid w:val="00E66C6A"/>
    <w:rsid w:val="00E674BE"/>
    <w:rsid w:val="00E67B1E"/>
    <w:rsid w:val="00E72DC9"/>
    <w:rsid w:val="00E75827"/>
    <w:rsid w:val="00E779C0"/>
    <w:rsid w:val="00E90CF4"/>
    <w:rsid w:val="00E9123F"/>
    <w:rsid w:val="00E945E5"/>
    <w:rsid w:val="00EA26F6"/>
    <w:rsid w:val="00EA64B3"/>
    <w:rsid w:val="00EA7A69"/>
    <w:rsid w:val="00EB09E8"/>
    <w:rsid w:val="00EB69A8"/>
    <w:rsid w:val="00EB6AC9"/>
    <w:rsid w:val="00EB76B7"/>
    <w:rsid w:val="00EC26C5"/>
    <w:rsid w:val="00EC322B"/>
    <w:rsid w:val="00EC5D4D"/>
    <w:rsid w:val="00EC5E73"/>
    <w:rsid w:val="00EC7D46"/>
    <w:rsid w:val="00ED0379"/>
    <w:rsid w:val="00ED0D2B"/>
    <w:rsid w:val="00ED1436"/>
    <w:rsid w:val="00ED20DA"/>
    <w:rsid w:val="00ED456D"/>
    <w:rsid w:val="00ED4D33"/>
    <w:rsid w:val="00ED7C84"/>
    <w:rsid w:val="00EE195F"/>
    <w:rsid w:val="00EE1C97"/>
    <w:rsid w:val="00EE319B"/>
    <w:rsid w:val="00EF0994"/>
    <w:rsid w:val="00EF3A0C"/>
    <w:rsid w:val="00EF438F"/>
    <w:rsid w:val="00EF61C7"/>
    <w:rsid w:val="00EF6F21"/>
    <w:rsid w:val="00F00595"/>
    <w:rsid w:val="00F03CF9"/>
    <w:rsid w:val="00F05543"/>
    <w:rsid w:val="00F11F04"/>
    <w:rsid w:val="00F12AD5"/>
    <w:rsid w:val="00F249ED"/>
    <w:rsid w:val="00F24E47"/>
    <w:rsid w:val="00F251D8"/>
    <w:rsid w:val="00F26690"/>
    <w:rsid w:val="00F26751"/>
    <w:rsid w:val="00F26916"/>
    <w:rsid w:val="00F271E4"/>
    <w:rsid w:val="00F333E4"/>
    <w:rsid w:val="00F40EFF"/>
    <w:rsid w:val="00F42DA1"/>
    <w:rsid w:val="00F51786"/>
    <w:rsid w:val="00F53660"/>
    <w:rsid w:val="00F53724"/>
    <w:rsid w:val="00F6006B"/>
    <w:rsid w:val="00F644DA"/>
    <w:rsid w:val="00F64623"/>
    <w:rsid w:val="00F67739"/>
    <w:rsid w:val="00F700A2"/>
    <w:rsid w:val="00F743DA"/>
    <w:rsid w:val="00F7524A"/>
    <w:rsid w:val="00F80D58"/>
    <w:rsid w:val="00F8533F"/>
    <w:rsid w:val="00F8631C"/>
    <w:rsid w:val="00F874A7"/>
    <w:rsid w:val="00F8760E"/>
    <w:rsid w:val="00F92F8E"/>
    <w:rsid w:val="00F94C5E"/>
    <w:rsid w:val="00F96E52"/>
    <w:rsid w:val="00FA07CE"/>
    <w:rsid w:val="00FA183C"/>
    <w:rsid w:val="00FA22A3"/>
    <w:rsid w:val="00FB025D"/>
    <w:rsid w:val="00FB24AC"/>
    <w:rsid w:val="00FB3E3C"/>
    <w:rsid w:val="00FB4301"/>
    <w:rsid w:val="00FB549B"/>
    <w:rsid w:val="00FC1F76"/>
    <w:rsid w:val="00FC5499"/>
    <w:rsid w:val="00FC667C"/>
    <w:rsid w:val="00FD4CA9"/>
    <w:rsid w:val="00FD5FEB"/>
    <w:rsid w:val="00FD6413"/>
    <w:rsid w:val="00FD796C"/>
    <w:rsid w:val="00FE4C43"/>
    <w:rsid w:val="00FE5074"/>
    <w:rsid w:val="00FE5781"/>
    <w:rsid w:val="00FE5865"/>
    <w:rsid w:val="00FF3910"/>
    <w:rsid w:val="00FF76D3"/>
    <w:rsid w:val="014F4893"/>
    <w:rsid w:val="017D4F5C"/>
    <w:rsid w:val="019D55FE"/>
    <w:rsid w:val="01C761D7"/>
    <w:rsid w:val="02BF0073"/>
    <w:rsid w:val="030A0A72"/>
    <w:rsid w:val="031B2C7F"/>
    <w:rsid w:val="03391357"/>
    <w:rsid w:val="03724869"/>
    <w:rsid w:val="03824AAC"/>
    <w:rsid w:val="03C926DB"/>
    <w:rsid w:val="03E33071"/>
    <w:rsid w:val="04EB39F0"/>
    <w:rsid w:val="054B5371"/>
    <w:rsid w:val="05EA2DDC"/>
    <w:rsid w:val="06473D8B"/>
    <w:rsid w:val="068428E9"/>
    <w:rsid w:val="06A92350"/>
    <w:rsid w:val="06D849E3"/>
    <w:rsid w:val="07BB058C"/>
    <w:rsid w:val="080B07C2"/>
    <w:rsid w:val="08397703"/>
    <w:rsid w:val="0858402D"/>
    <w:rsid w:val="089A2898"/>
    <w:rsid w:val="08C90A87"/>
    <w:rsid w:val="093D1475"/>
    <w:rsid w:val="095F3199"/>
    <w:rsid w:val="09774987"/>
    <w:rsid w:val="0A03621B"/>
    <w:rsid w:val="0A1421D6"/>
    <w:rsid w:val="0A157CFC"/>
    <w:rsid w:val="0A2763AD"/>
    <w:rsid w:val="0A6C2012"/>
    <w:rsid w:val="0AC41E4E"/>
    <w:rsid w:val="0B6727D9"/>
    <w:rsid w:val="0B7D1FFD"/>
    <w:rsid w:val="0B8769D7"/>
    <w:rsid w:val="0BF57DE5"/>
    <w:rsid w:val="0C360B29"/>
    <w:rsid w:val="0C3B6140"/>
    <w:rsid w:val="0C4072B2"/>
    <w:rsid w:val="0CB8153E"/>
    <w:rsid w:val="0DB461AA"/>
    <w:rsid w:val="0DED346A"/>
    <w:rsid w:val="0E39220B"/>
    <w:rsid w:val="0E8518F4"/>
    <w:rsid w:val="0EC35F79"/>
    <w:rsid w:val="0F67724C"/>
    <w:rsid w:val="0F9B0CA3"/>
    <w:rsid w:val="0FE64614"/>
    <w:rsid w:val="101D58FF"/>
    <w:rsid w:val="10593038"/>
    <w:rsid w:val="1064474E"/>
    <w:rsid w:val="10F20D97"/>
    <w:rsid w:val="11380EA0"/>
    <w:rsid w:val="1193257A"/>
    <w:rsid w:val="11B217C4"/>
    <w:rsid w:val="11D34725"/>
    <w:rsid w:val="120B0362"/>
    <w:rsid w:val="124675EC"/>
    <w:rsid w:val="12727EA3"/>
    <w:rsid w:val="12AD766B"/>
    <w:rsid w:val="132C0590"/>
    <w:rsid w:val="13D6674E"/>
    <w:rsid w:val="141F00F5"/>
    <w:rsid w:val="14213E6D"/>
    <w:rsid w:val="15602773"/>
    <w:rsid w:val="15B8610B"/>
    <w:rsid w:val="1672275E"/>
    <w:rsid w:val="16EB2510"/>
    <w:rsid w:val="16F94C2D"/>
    <w:rsid w:val="173348D1"/>
    <w:rsid w:val="17367C2F"/>
    <w:rsid w:val="175207E1"/>
    <w:rsid w:val="17AC6144"/>
    <w:rsid w:val="182E4DAB"/>
    <w:rsid w:val="183F0D66"/>
    <w:rsid w:val="18441ED8"/>
    <w:rsid w:val="185145F5"/>
    <w:rsid w:val="18DA45EA"/>
    <w:rsid w:val="1912647A"/>
    <w:rsid w:val="19965E43"/>
    <w:rsid w:val="1A475CB0"/>
    <w:rsid w:val="1A554870"/>
    <w:rsid w:val="1A772A39"/>
    <w:rsid w:val="1A7A42D7"/>
    <w:rsid w:val="1A840CB2"/>
    <w:rsid w:val="1AD05CA5"/>
    <w:rsid w:val="1C6E7E6B"/>
    <w:rsid w:val="1C9C6787"/>
    <w:rsid w:val="1CCC4B92"/>
    <w:rsid w:val="1D0C4F8F"/>
    <w:rsid w:val="1D7C2114"/>
    <w:rsid w:val="1DA022A7"/>
    <w:rsid w:val="1E164317"/>
    <w:rsid w:val="1E2527AC"/>
    <w:rsid w:val="1E9E60BA"/>
    <w:rsid w:val="1EB06519"/>
    <w:rsid w:val="1EC83421"/>
    <w:rsid w:val="1EE00481"/>
    <w:rsid w:val="1F301408"/>
    <w:rsid w:val="1F3F5AEF"/>
    <w:rsid w:val="1F9C4CF0"/>
    <w:rsid w:val="1F9C6A9E"/>
    <w:rsid w:val="1FB2006F"/>
    <w:rsid w:val="1FBD624C"/>
    <w:rsid w:val="1FCE128F"/>
    <w:rsid w:val="204B2D06"/>
    <w:rsid w:val="20C55B80"/>
    <w:rsid w:val="20CF69FF"/>
    <w:rsid w:val="213C22E6"/>
    <w:rsid w:val="215F7D83"/>
    <w:rsid w:val="21D73DBD"/>
    <w:rsid w:val="21EA7F94"/>
    <w:rsid w:val="21FC7CC7"/>
    <w:rsid w:val="22873A35"/>
    <w:rsid w:val="229D5007"/>
    <w:rsid w:val="22AE0FC2"/>
    <w:rsid w:val="22BB36DF"/>
    <w:rsid w:val="22C5455D"/>
    <w:rsid w:val="23623B5A"/>
    <w:rsid w:val="236B0C61"/>
    <w:rsid w:val="23EB1DA2"/>
    <w:rsid w:val="23F8626D"/>
    <w:rsid w:val="24773635"/>
    <w:rsid w:val="24F627AC"/>
    <w:rsid w:val="25382DC5"/>
    <w:rsid w:val="25710085"/>
    <w:rsid w:val="25A93CC2"/>
    <w:rsid w:val="26976211"/>
    <w:rsid w:val="26A85D28"/>
    <w:rsid w:val="270F224B"/>
    <w:rsid w:val="273B4DEE"/>
    <w:rsid w:val="280B02B4"/>
    <w:rsid w:val="281F201A"/>
    <w:rsid w:val="283830DC"/>
    <w:rsid w:val="28AB1AFF"/>
    <w:rsid w:val="28EA2628"/>
    <w:rsid w:val="2A44045E"/>
    <w:rsid w:val="2AE82B97"/>
    <w:rsid w:val="2B013C59"/>
    <w:rsid w:val="2B34402E"/>
    <w:rsid w:val="2B6C1A1A"/>
    <w:rsid w:val="2BE12008"/>
    <w:rsid w:val="2BE772F2"/>
    <w:rsid w:val="2C2422F5"/>
    <w:rsid w:val="2C365B84"/>
    <w:rsid w:val="2C526E62"/>
    <w:rsid w:val="2C932FD6"/>
    <w:rsid w:val="2CA156F3"/>
    <w:rsid w:val="2D2C76B3"/>
    <w:rsid w:val="2DDB69E3"/>
    <w:rsid w:val="2DDF4725"/>
    <w:rsid w:val="2E505623"/>
    <w:rsid w:val="2E5D564A"/>
    <w:rsid w:val="2EC102CF"/>
    <w:rsid w:val="2ED31DB0"/>
    <w:rsid w:val="2F2443BA"/>
    <w:rsid w:val="2F364819"/>
    <w:rsid w:val="2FFC184B"/>
    <w:rsid w:val="30590093"/>
    <w:rsid w:val="30DD2A72"/>
    <w:rsid w:val="312406A1"/>
    <w:rsid w:val="31271F3F"/>
    <w:rsid w:val="31C51E84"/>
    <w:rsid w:val="31D64091"/>
    <w:rsid w:val="32333292"/>
    <w:rsid w:val="328E04C8"/>
    <w:rsid w:val="329655CE"/>
    <w:rsid w:val="32A55811"/>
    <w:rsid w:val="32D700C1"/>
    <w:rsid w:val="3304078A"/>
    <w:rsid w:val="332826CA"/>
    <w:rsid w:val="33460DA3"/>
    <w:rsid w:val="3364747B"/>
    <w:rsid w:val="336F654B"/>
    <w:rsid w:val="33743B62"/>
    <w:rsid w:val="33B201E6"/>
    <w:rsid w:val="33C65A3F"/>
    <w:rsid w:val="342033A2"/>
    <w:rsid w:val="34360E17"/>
    <w:rsid w:val="34441786"/>
    <w:rsid w:val="34873421"/>
    <w:rsid w:val="34A044E2"/>
    <w:rsid w:val="35327830"/>
    <w:rsid w:val="35357321"/>
    <w:rsid w:val="357065AB"/>
    <w:rsid w:val="35780FBB"/>
    <w:rsid w:val="36910587"/>
    <w:rsid w:val="36D05553"/>
    <w:rsid w:val="380B4369"/>
    <w:rsid w:val="38305B7D"/>
    <w:rsid w:val="384A6C3F"/>
    <w:rsid w:val="387B504A"/>
    <w:rsid w:val="389D1465"/>
    <w:rsid w:val="392576AC"/>
    <w:rsid w:val="3948754F"/>
    <w:rsid w:val="395B4E7C"/>
    <w:rsid w:val="397F6DBC"/>
    <w:rsid w:val="39E906DA"/>
    <w:rsid w:val="3A575643"/>
    <w:rsid w:val="3A8521B0"/>
    <w:rsid w:val="3AF13CEA"/>
    <w:rsid w:val="3AFD61EB"/>
    <w:rsid w:val="3B007A89"/>
    <w:rsid w:val="3BDC22A4"/>
    <w:rsid w:val="3C12216A"/>
    <w:rsid w:val="3C4D13F4"/>
    <w:rsid w:val="3CBB635D"/>
    <w:rsid w:val="3CC97668"/>
    <w:rsid w:val="3D69400B"/>
    <w:rsid w:val="3D7529B0"/>
    <w:rsid w:val="3DCE3E6E"/>
    <w:rsid w:val="3DD0505D"/>
    <w:rsid w:val="3E0B6E71"/>
    <w:rsid w:val="3E173A67"/>
    <w:rsid w:val="3E4660FB"/>
    <w:rsid w:val="3E642A25"/>
    <w:rsid w:val="3ED2798E"/>
    <w:rsid w:val="3F261A88"/>
    <w:rsid w:val="3F732F1F"/>
    <w:rsid w:val="3FF35E0E"/>
    <w:rsid w:val="3FF37BBC"/>
    <w:rsid w:val="404228F2"/>
    <w:rsid w:val="41686388"/>
    <w:rsid w:val="42025F5C"/>
    <w:rsid w:val="420E5181"/>
    <w:rsid w:val="429F227D"/>
    <w:rsid w:val="42C13FA2"/>
    <w:rsid w:val="42EA799C"/>
    <w:rsid w:val="43056584"/>
    <w:rsid w:val="43FA3C0F"/>
    <w:rsid w:val="44151268"/>
    <w:rsid w:val="442E38B9"/>
    <w:rsid w:val="444255B6"/>
    <w:rsid w:val="44957494"/>
    <w:rsid w:val="449F0313"/>
    <w:rsid w:val="44B33DBE"/>
    <w:rsid w:val="451505D5"/>
    <w:rsid w:val="455C26A8"/>
    <w:rsid w:val="45FB77CB"/>
    <w:rsid w:val="460615EF"/>
    <w:rsid w:val="463158E2"/>
    <w:rsid w:val="4645313C"/>
    <w:rsid w:val="468E063F"/>
    <w:rsid w:val="46B81B60"/>
    <w:rsid w:val="480F755D"/>
    <w:rsid w:val="48DF1625"/>
    <w:rsid w:val="4916491B"/>
    <w:rsid w:val="4941408E"/>
    <w:rsid w:val="494616A5"/>
    <w:rsid w:val="498A77E3"/>
    <w:rsid w:val="49E30CA1"/>
    <w:rsid w:val="49E50EBD"/>
    <w:rsid w:val="4A534079"/>
    <w:rsid w:val="4AB03279"/>
    <w:rsid w:val="4ADF3B5F"/>
    <w:rsid w:val="4AFA62A3"/>
    <w:rsid w:val="4B555BCF"/>
    <w:rsid w:val="4B577B99"/>
    <w:rsid w:val="4B5A4F93"/>
    <w:rsid w:val="4BA44460"/>
    <w:rsid w:val="4C1B2975"/>
    <w:rsid w:val="4C211F55"/>
    <w:rsid w:val="4C5F67DB"/>
    <w:rsid w:val="4CF84A64"/>
    <w:rsid w:val="4D4C4DB0"/>
    <w:rsid w:val="4D697710"/>
    <w:rsid w:val="4E6879C7"/>
    <w:rsid w:val="4ECC7F56"/>
    <w:rsid w:val="4EF70D4B"/>
    <w:rsid w:val="4F9A62A6"/>
    <w:rsid w:val="4FC155E1"/>
    <w:rsid w:val="50526B81"/>
    <w:rsid w:val="50F32112"/>
    <w:rsid w:val="51646B6C"/>
    <w:rsid w:val="51DD691E"/>
    <w:rsid w:val="51DF5EE2"/>
    <w:rsid w:val="526B217C"/>
    <w:rsid w:val="52974D1F"/>
    <w:rsid w:val="52F65EE9"/>
    <w:rsid w:val="53C51418"/>
    <w:rsid w:val="53D855EF"/>
    <w:rsid w:val="53D8739D"/>
    <w:rsid w:val="54A84FC1"/>
    <w:rsid w:val="54AD4386"/>
    <w:rsid w:val="54FF095A"/>
    <w:rsid w:val="551D59AF"/>
    <w:rsid w:val="55D10548"/>
    <w:rsid w:val="55EB160A"/>
    <w:rsid w:val="56292132"/>
    <w:rsid w:val="567C04B4"/>
    <w:rsid w:val="56C105BC"/>
    <w:rsid w:val="56E10C5F"/>
    <w:rsid w:val="56FA762A"/>
    <w:rsid w:val="57FB365A"/>
    <w:rsid w:val="5809221B"/>
    <w:rsid w:val="58845D45"/>
    <w:rsid w:val="595C637A"/>
    <w:rsid w:val="598D29D8"/>
    <w:rsid w:val="59995821"/>
    <w:rsid w:val="5AC24903"/>
    <w:rsid w:val="5AE66844"/>
    <w:rsid w:val="5B370E4D"/>
    <w:rsid w:val="5BEC60DC"/>
    <w:rsid w:val="5C4C0928"/>
    <w:rsid w:val="5C9347A9"/>
    <w:rsid w:val="5CCE758F"/>
    <w:rsid w:val="5D3F223B"/>
    <w:rsid w:val="5D845EA0"/>
    <w:rsid w:val="5D8B722E"/>
    <w:rsid w:val="5E631F59"/>
    <w:rsid w:val="5E8C3611"/>
    <w:rsid w:val="5EFF1468"/>
    <w:rsid w:val="5F0720F8"/>
    <w:rsid w:val="60567FC7"/>
    <w:rsid w:val="60822B6A"/>
    <w:rsid w:val="608368E3"/>
    <w:rsid w:val="609F196E"/>
    <w:rsid w:val="60A056E7"/>
    <w:rsid w:val="60BF5B6D"/>
    <w:rsid w:val="60F65306"/>
    <w:rsid w:val="61314591"/>
    <w:rsid w:val="614C4F26"/>
    <w:rsid w:val="62570027"/>
    <w:rsid w:val="62C17915"/>
    <w:rsid w:val="6381535B"/>
    <w:rsid w:val="64033FC2"/>
    <w:rsid w:val="64410F8F"/>
    <w:rsid w:val="644C3BBB"/>
    <w:rsid w:val="645E569D"/>
    <w:rsid w:val="64B928D3"/>
    <w:rsid w:val="64D23995"/>
    <w:rsid w:val="650A5824"/>
    <w:rsid w:val="652E1513"/>
    <w:rsid w:val="65363F24"/>
    <w:rsid w:val="65530F79"/>
    <w:rsid w:val="65856C59"/>
    <w:rsid w:val="65A077DA"/>
    <w:rsid w:val="661204ED"/>
    <w:rsid w:val="66860EDB"/>
    <w:rsid w:val="66A3383B"/>
    <w:rsid w:val="67395F4D"/>
    <w:rsid w:val="67564D51"/>
    <w:rsid w:val="69B61AD7"/>
    <w:rsid w:val="6A010FA4"/>
    <w:rsid w:val="6A4315BC"/>
    <w:rsid w:val="6A9C6F1F"/>
    <w:rsid w:val="6B064398"/>
    <w:rsid w:val="6B8974A3"/>
    <w:rsid w:val="6BEA5A68"/>
    <w:rsid w:val="6BF863D7"/>
    <w:rsid w:val="6C692E30"/>
    <w:rsid w:val="6C6C46CF"/>
    <w:rsid w:val="6CBE317C"/>
    <w:rsid w:val="6D997745"/>
    <w:rsid w:val="6DCF3167"/>
    <w:rsid w:val="6DEC3D19"/>
    <w:rsid w:val="6DF80910"/>
    <w:rsid w:val="6E1A0886"/>
    <w:rsid w:val="6E557B10"/>
    <w:rsid w:val="6EDC3D8E"/>
    <w:rsid w:val="6FB1521A"/>
    <w:rsid w:val="701B6B38"/>
    <w:rsid w:val="711A1C9E"/>
    <w:rsid w:val="714678F4"/>
    <w:rsid w:val="71597917"/>
    <w:rsid w:val="71883D59"/>
    <w:rsid w:val="71B27028"/>
    <w:rsid w:val="71B44B4E"/>
    <w:rsid w:val="71C805F9"/>
    <w:rsid w:val="72135D18"/>
    <w:rsid w:val="73092C77"/>
    <w:rsid w:val="735F4F8D"/>
    <w:rsid w:val="73B4221F"/>
    <w:rsid w:val="74850A24"/>
    <w:rsid w:val="75510906"/>
    <w:rsid w:val="75614FED"/>
    <w:rsid w:val="76404C02"/>
    <w:rsid w:val="77334767"/>
    <w:rsid w:val="773B361B"/>
    <w:rsid w:val="77512E3F"/>
    <w:rsid w:val="77617526"/>
    <w:rsid w:val="77C43611"/>
    <w:rsid w:val="77C90C27"/>
    <w:rsid w:val="78656BA2"/>
    <w:rsid w:val="78811502"/>
    <w:rsid w:val="791A3E30"/>
    <w:rsid w:val="795310F0"/>
    <w:rsid w:val="79C1605A"/>
    <w:rsid w:val="79C478F8"/>
    <w:rsid w:val="79D7762B"/>
    <w:rsid w:val="79F04B91"/>
    <w:rsid w:val="7A3031E0"/>
    <w:rsid w:val="7AB83901"/>
    <w:rsid w:val="7B4E008A"/>
    <w:rsid w:val="7B607AF4"/>
    <w:rsid w:val="7BA45C33"/>
    <w:rsid w:val="7BF96578"/>
    <w:rsid w:val="7C8A307B"/>
    <w:rsid w:val="7D1666BD"/>
    <w:rsid w:val="7D276B1C"/>
    <w:rsid w:val="7D7D04EA"/>
    <w:rsid w:val="7D97416E"/>
    <w:rsid w:val="7DBD122E"/>
    <w:rsid w:val="7E6A655A"/>
    <w:rsid w:val="7E857F9E"/>
    <w:rsid w:val="7EB50157"/>
    <w:rsid w:val="7F315A30"/>
    <w:rsid w:val="7F361298"/>
    <w:rsid w:val="7F484B27"/>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0" w:name="footnote reference"/>
    <w:lsdException w:qFormat="1" w:uiPriority="99" w:name="annotation reference"/>
    <w:lsdException w:uiPriority="99" w:name="line number"/>
    <w:lsdException w:qFormat="1" w:uiPriority="99"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9"/>
    <w:qFormat/>
    <w:uiPriority w:val="0"/>
    <w:pPr>
      <w:keepNext/>
      <w:keepLines/>
      <w:spacing w:before="100" w:beforeLines="100" w:after="100" w:afterLines="100"/>
      <w:ind w:firstLine="0" w:firstLineChars="0"/>
      <w:jc w:val="center"/>
      <w:outlineLvl w:val="0"/>
    </w:pPr>
    <w:rPr>
      <w:rFonts w:eastAsia="黑体"/>
      <w:b/>
      <w:bCs/>
      <w:color w:val="000000"/>
      <w:kern w:val="44"/>
      <w:sz w:val="24"/>
      <w:szCs w:val="32"/>
    </w:rPr>
  </w:style>
  <w:style w:type="paragraph" w:styleId="3">
    <w:name w:val="heading 2"/>
    <w:basedOn w:val="1"/>
    <w:next w:val="1"/>
    <w:link w:val="30"/>
    <w:unhideWhenUsed/>
    <w:qFormat/>
    <w:uiPriority w:val="9"/>
    <w:pPr>
      <w:keepNext/>
      <w:keepLines/>
      <w:spacing w:before="120" w:after="120"/>
      <w:outlineLvl w:val="1"/>
    </w:pPr>
    <w:rPr>
      <w:rFonts w:eastAsia="黑体"/>
      <w:b/>
      <w:bCs/>
      <w:szCs w:val="28"/>
    </w:rPr>
  </w:style>
  <w:style w:type="paragraph" w:styleId="4">
    <w:name w:val="heading 3"/>
    <w:basedOn w:val="1"/>
    <w:next w:val="1"/>
    <w:link w:val="31"/>
    <w:unhideWhenUsed/>
    <w:qFormat/>
    <w:uiPriority w:val="9"/>
    <w:pPr>
      <w:spacing w:before="240"/>
      <w:ind w:firstLine="0"/>
      <w:outlineLvl w:val="2"/>
    </w:pPr>
    <w:rPr>
      <w:sz w:val="26"/>
    </w:rPr>
  </w:style>
  <w:style w:type="paragraph" w:styleId="5">
    <w:name w:val="heading 4"/>
    <w:basedOn w:val="1"/>
    <w:next w:val="1"/>
    <w:link w:val="32"/>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tabs>
        <w:tab w:val="center" w:pos="4080"/>
      </w:tabs>
      <w:spacing w:line="360" w:lineRule="auto"/>
      <w:ind w:firstLine="480"/>
    </w:pPr>
    <w:rPr>
      <w:rFonts w:eastAsia="仿宋" w:cstheme="majorBidi"/>
      <w:sz w:val="22"/>
      <w:szCs w:val="20"/>
    </w:rPr>
  </w:style>
  <w:style w:type="paragraph" w:styleId="7">
    <w:name w:val="annotation text"/>
    <w:basedOn w:val="1"/>
    <w:link w:val="63"/>
    <w:unhideWhenUsed/>
    <w:qFormat/>
    <w:uiPriority w:val="99"/>
    <w:pPr>
      <w:ind w:firstLine="0"/>
      <w:jc w:val="left"/>
    </w:pPr>
    <w:rPr>
      <w:rFonts w:asciiTheme="minorHAnsi" w:hAnsiTheme="minorHAnsi" w:eastAsiaTheme="minorEastAsia" w:cstheme="minorBidi"/>
    </w:rPr>
  </w:style>
  <w:style w:type="paragraph" w:styleId="8">
    <w:name w:val="toc 3"/>
    <w:basedOn w:val="1"/>
    <w:next w:val="1"/>
    <w:autoRedefine/>
    <w:unhideWhenUsed/>
    <w:qFormat/>
    <w:uiPriority w:val="39"/>
    <w:pPr>
      <w:tabs>
        <w:tab w:val="right" w:leader="dot" w:pos="8948"/>
      </w:tabs>
      <w:ind w:left="992" w:leftChars="368" w:hanging="109"/>
    </w:pPr>
  </w:style>
  <w:style w:type="paragraph" w:styleId="9">
    <w:name w:val="Plain Text"/>
    <w:basedOn w:val="1"/>
    <w:link w:val="68"/>
    <w:qFormat/>
    <w:uiPriority w:val="0"/>
    <w:pPr>
      <w:ind w:firstLine="0"/>
    </w:pPr>
    <w:rPr>
      <w:rFonts w:ascii="宋体" w:hAnsi="Courier New" w:cs="幼圆"/>
      <w:szCs w:val="21"/>
    </w:rPr>
  </w:style>
  <w:style w:type="paragraph" w:styleId="10">
    <w:name w:val="Date"/>
    <w:basedOn w:val="1"/>
    <w:next w:val="1"/>
    <w:link w:val="50"/>
    <w:semiHidden/>
    <w:unhideWhenUsed/>
    <w:qFormat/>
    <w:uiPriority w:val="99"/>
    <w:pPr>
      <w:ind w:left="100" w:leftChars="2500"/>
    </w:pPr>
  </w:style>
  <w:style w:type="paragraph" w:styleId="11">
    <w:name w:val="footer"/>
    <w:basedOn w:val="1"/>
    <w:link w:val="48"/>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4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toc 1"/>
    <w:basedOn w:val="1"/>
    <w:next w:val="1"/>
    <w:link w:val="80"/>
    <w:autoRedefine/>
    <w:unhideWhenUsed/>
    <w:qFormat/>
    <w:uiPriority w:val="39"/>
    <w:pPr>
      <w:tabs>
        <w:tab w:val="right" w:leader="dot" w:pos="8948"/>
      </w:tabs>
      <w:spacing w:before="120"/>
      <w:ind w:left="240" w:leftChars="100" w:right="240" w:rightChars="100" w:firstLine="45"/>
    </w:pPr>
    <w:rPr>
      <w:rFonts w:ascii="黑体" w:hAnsi="黑体" w:eastAsia="黑体"/>
    </w:rPr>
  </w:style>
  <w:style w:type="paragraph" w:styleId="14">
    <w:name w:val="footnote text"/>
    <w:basedOn w:val="1"/>
    <w:link w:val="53"/>
    <w:unhideWhenUsed/>
    <w:qFormat/>
    <w:uiPriority w:val="99"/>
    <w:pPr>
      <w:snapToGrid w:val="0"/>
      <w:jc w:val="left"/>
    </w:pPr>
    <w:rPr>
      <w:sz w:val="18"/>
      <w:szCs w:val="18"/>
    </w:rPr>
  </w:style>
  <w:style w:type="paragraph" w:styleId="15">
    <w:name w:val="table of figures"/>
    <w:basedOn w:val="1"/>
    <w:next w:val="1"/>
    <w:unhideWhenUsed/>
    <w:qFormat/>
    <w:uiPriority w:val="99"/>
    <w:pPr>
      <w:ind w:left="200" w:leftChars="200" w:hanging="200" w:hangingChars="200"/>
    </w:pPr>
  </w:style>
  <w:style w:type="paragraph" w:styleId="16">
    <w:name w:val="toc 2"/>
    <w:basedOn w:val="1"/>
    <w:next w:val="1"/>
    <w:link w:val="82"/>
    <w:autoRedefine/>
    <w:unhideWhenUsed/>
    <w:qFormat/>
    <w:uiPriority w:val="39"/>
    <w:pPr>
      <w:tabs>
        <w:tab w:val="right" w:leader="dot" w:pos="8948"/>
      </w:tabs>
      <w:ind w:left="142" w:leftChars="59"/>
    </w:pPr>
  </w:style>
  <w:style w:type="paragraph" w:styleId="17">
    <w:name w:val="Normal (Web)"/>
    <w:basedOn w:val="1"/>
    <w:semiHidden/>
    <w:unhideWhenUsed/>
    <w:qFormat/>
    <w:uiPriority w:val="99"/>
    <w:pPr>
      <w:widowControl/>
      <w:spacing w:before="100" w:beforeAutospacing="1" w:after="100" w:afterAutospacing="1"/>
      <w:ind w:firstLine="0"/>
      <w:jc w:val="left"/>
    </w:pPr>
    <w:rPr>
      <w:rFonts w:ascii="宋体" w:hAnsi="宋体" w:cs="宋体"/>
      <w:kern w:val="0"/>
      <w:szCs w:val="24"/>
    </w:rPr>
  </w:style>
  <w:style w:type="paragraph" w:styleId="18">
    <w:name w:val="annotation subject"/>
    <w:basedOn w:val="7"/>
    <w:next w:val="7"/>
    <w:link w:val="65"/>
    <w:semiHidden/>
    <w:unhideWhenUsed/>
    <w:qFormat/>
    <w:uiPriority w:val="99"/>
    <w:pPr>
      <w:spacing w:line="400" w:lineRule="exact"/>
      <w:ind w:firstLine="420"/>
    </w:pPr>
    <w:rPr>
      <w:rFonts w:ascii="Times New Roman" w:hAnsi="Times New Roman" w:eastAsia="宋体" w:cs="Times New Roman"/>
      <w:b/>
      <w:bCs/>
      <w:sz w:val="24"/>
    </w:rPr>
  </w:style>
  <w:style w:type="table" w:styleId="20">
    <w:name w:val="Table Grid"/>
    <w:basedOn w:val="19"/>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endnote reference"/>
    <w:basedOn w:val="21"/>
    <w:semiHidden/>
    <w:unhideWhenUsed/>
    <w:qFormat/>
    <w:uiPriority w:val="99"/>
    <w:rPr>
      <w:vertAlign w:val="superscript"/>
    </w:rPr>
  </w:style>
  <w:style w:type="character" w:styleId="24">
    <w:name w:val="page number"/>
    <w:basedOn w:val="21"/>
    <w:semiHidden/>
    <w:unhideWhenUsed/>
    <w:qFormat/>
    <w:uiPriority w:val="99"/>
  </w:style>
  <w:style w:type="character" w:styleId="25">
    <w:name w:val="Emphasis"/>
    <w:basedOn w:val="21"/>
    <w:qFormat/>
    <w:uiPriority w:val="20"/>
    <w:rPr>
      <w:i/>
      <w:iCs/>
    </w:rPr>
  </w:style>
  <w:style w:type="character" w:styleId="26">
    <w:name w:val="Hyperlink"/>
    <w:basedOn w:val="21"/>
    <w:unhideWhenUsed/>
    <w:qFormat/>
    <w:uiPriority w:val="99"/>
    <w:rPr>
      <w:color w:val="0000FF"/>
      <w:u w:val="single"/>
    </w:rPr>
  </w:style>
  <w:style w:type="character" w:styleId="27">
    <w:name w:val="annotation reference"/>
    <w:basedOn w:val="21"/>
    <w:semiHidden/>
    <w:unhideWhenUsed/>
    <w:qFormat/>
    <w:uiPriority w:val="99"/>
    <w:rPr>
      <w:sz w:val="21"/>
      <w:szCs w:val="21"/>
    </w:rPr>
  </w:style>
  <w:style w:type="character" w:styleId="28">
    <w:name w:val="footnote reference"/>
    <w:basedOn w:val="21"/>
    <w:semiHidden/>
    <w:unhideWhenUsed/>
    <w:qFormat/>
    <w:uiPriority w:val="0"/>
    <w:rPr>
      <w:vertAlign w:val="superscript"/>
    </w:rPr>
  </w:style>
  <w:style w:type="character" w:customStyle="1" w:styleId="29">
    <w:name w:val="标题 1 字符1"/>
    <w:basedOn w:val="21"/>
    <w:link w:val="2"/>
    <w:qFormat/>
    <w:uiPriority w:val="0"/>
    <w:rPr>
      <w:rFonts w:ascii="Times New Roman" w:hAnsi="Times New Roman" w:eastAsia="黑体" w:cs="Times New Roman"/>
      <w:b/>
      <w:bCs/>
      <w:color w:val="000000"/>
      <w:kern w:val="44"/>
      <w:szCs w:val="32"/>
    </w:rPr>
  </w:style>
  <w:style w:type="character" w:customStyle="1" w:styleId="30">
    <w:name w:val="标题 2 字符1"/>
    <w:basedOn w:val="21"/>
    <w:link w:val="3"/>
    <w:qFormat/>
    <w:uiPriority w:val="9"/>
    <w:rPr>
      <w:rFonts w:ascii="Times New Roman" w:hAnsi="Times New Roman" w:eastAsia="黑体" w:cs="Times New Roman"/>
      <w:b/>
      <w:bCs/>
      <w:kern w:val="2"/>
      <w:sz w:val="21"/>
      <w:szCs w:val="28"/>
    </w:rPr>
  </w:style>
  <w:style w:type="character" w:customStyle="1" w:styleId="31">
    <w:name w:val="标题 3 字符1"/>
    <w:basedOn w:val="21"/>
    <w:link w:val="4"/>
    <w:qFormat/>
    <w:uiPriority w:val="9"/>
    <w:rPr>
      <w:rFonts w:ascii="Times New Roman" w:hAnsi="Times New Roman" w:eastAsia="黑体" w:cs="Times New Roman"/>
      <w:bCs/>
      <w:kern w:val="2"/>
      <w:sz w:val="26"/>
      <w:szCs w:val="28"/>
    </w:rPr>
  </w:style>
  <w:style w:type="character" w:customStyle="1" w:styleId="32">
    <w:name w:val="标题 4 字符"/>
    <w:basedOn w:val="21"/>
    <w:link w:val="5"/>
    <w:qFormat/>
    <w:uiPriority w:val="9"/>
    <w:rPr>
      <w:rFonts w:asciiTheme="majorHAnsi" w:hAnsiTheme="majorHAnsi" w:eastAsiaTheme="majorEastAsia" w:cstheme="majorBidi"/>
      <w:b/>
      <w:bCs/>
      <w:kern w:val="2"/>
      <w:sz w:val="28"/>
      <w:szCs w:val="28"/>
    </w:rPr>
  </w:style>
  <w:style w:type="character" w:customStyle="1" w:styleId="33">
    <w:name w:val="标题 1 字符"/>
    <w:basedOn w:val="21"/>
    <w:qFormat/>
    <w:uiPriority w:val="9"/>
    <w:rPr>
      <w:b/>
      <w:bCs/>
      <w:kern w:val="44"/>
      <w:sz w:val="44"/>
      <w:szCs w:val="44"/>
    </w:rPr>
  </w:style>
  <w:style w:type="paragraph" w:customStyle="1" w:styleId="34">
    <w:name w:val="表标题"/>
    <w:basedOn w:val="1"/>
    <w:link w:val="35"/>
    <w:qFormat/>
    <w:uiPriority w:val="0"/>
    <w:pPr>
      <w:spacing w:before="240" w:after="120"/>
      <w:ind w:left="840" w:hanging="420"/>
      <w:jc w:val="center"/>
    </w:pPr>
    <w:rPr>
      <w:rFonts w:ascii="宋体" w:hAnsi="宋体"/>
      <w:sz w:val="22"/>
    </w:rPr>
  </w:style>
  <w:style w:type="character" w:customStyle="1" w:styleId="35">
    <w:name w:val="表标题 字符"/>
    <w:basedOn w:val="21"/>
    <w:link w:val="34"/>
    <w:qFormat/>
    <w:uiPriority w:val="0"/>
    <w:rPr>
      <w:rFonts w:ascii="宋体" w:hAnsi="宋体" w:eastAsia="宋体" w:cs="Times New Roman"/>
      <w:kern w:val="2"/>
      <w:sz w:val="22"/>
      <w:szCs w:val="22"/>
    </w:rPr>
  </w:style>
  <w:style w:type="paragraph" w:customStyle="1" w:styleId="36">
    <w:name w:val="图标题"/>
    <w:basedOn w:val="1"/>
    <w:link w:val="37"/>
    <w:qFormat/>
    <w:uiPriority w:val="0"/>
    <w:pPr>
      <w:spacing w:before="120" w:after="240"/>
      <w:jc w:val="center"/>
    </w:pPr>
    <w:rPr>
      <w:iCs/>
      <w:sz w:val="22"/>
    </w:rPr>
  </w:style>
  <w:style w:type="character" w:customStyle="1" w:styleId="37">
    <w:name w:val="图标题 字符"/>
    <w:basedOn w:val="21"/>
    <w:link w:val="36"/>
    <w:qFormat/>
    <w:uiPriority w:val="0"/>
    <w:rPr>
      <w:rFonts w:ascii="Times New Roman" w:hAnsi="Times New Roman" w:eastAsia="宋体" w:cs="Times New Roman"/>
      <w:iCs/>
      <w:kern w:val="2"/>
      <w:sz w:val="22"/>
      <w:szCs w:val="22"/>
    </w:rPr>
  </w:style>
  <w:style w:type="paragraph" w:customStyle="1" w:styleId="38">
    <w:name w:val="公式"/>
    <w:basedOn w:val="1"/>
    <w:link w:val="39"/>
    <w:qFormat/>
    <w:uiPriority w:val="0"/>
    <w:pPr>
      <w:spacing w:before="120" w:after="120"/>
      <w:ind w:firstLine="0"/>
      <w:jc w:val="center"/>
    </w:pPr>
    <w:rPr>
      <w:rFonts w:eastAsiaTheme="minorEastAsia"/>
    </w:rPr>
  </w:style>
  <w:style w:type="character" w:customStyle="1" w:styleId="39">
    <w:name w:val="公式 字符"/>
    <w:basedOn w:val="21"/>
    <w:link w:val="38"/>
    <w:qFormat/>
    <w:uiPriority w:val="0"/>
    <w:rPr>
      <w:rFonts w:ascii="Times New Roman" w:hAnsi="Times New Roman" w:cs="Times New Roman"/>
      <w:kern w:val="2"/>
      <w:szCs w:val="22"/>
    </w:rPr>
  </w:style>
  <w:style w:type="character" w:customStyle="1" w:styleId="40">
    <w:name w:val="标题 2 字符"/>
    <w:basedOn w:val="21"/>
    <w:semiHidden/>
    <w:qFormat/>
    <w:uiPriority w:val="9"/>
    <w:rPr>
      <w:rFonts w:asciiTheme="majorHAnsi" w:hAnsiTheme="majorHAnsi" w:eastAsiaTheme="majorEastAsia" w:cstheme="majorBidi"/>
      <w:b/>
      <w:bCs/>
      <w:sz w:val="32"/>
      <w:szCs w:val="32"/>
    </w:rPr>
  </w:style>
  <w:style w:type="character" w:customStyle="1" w:styleId="41">
    <w:name w:val="标题 3 字符"/>
    <w:basedOn w:val="21"/>
    <w:semiHidden/>
    <w:qFormat/>
    <w:uiPriority w:val="9"/>
    <w:rPr>
      <w:rFonts w:ascii="Times New Roman" w:hAnsi="Times New Roman" w:eastAsia="宋体" w:cs="Times New Roman"/>
      <w:b/>
      <w:bCs/>
      <w:sz w:val="32"/>
      <w:szCs w:val="32"/>
    </w:rPr>
  </w:style>
  <w:style w:type="paragraph" w:styleId="42">
    <w:name w:val="List Paragraph"/>
    <w:basedOn w:val="1"/>
    <w:qFormat/>
    <w:uiPriority w:val="34"/>
    <w:rPr>
      <w:rFonts w:asciiTheme="minorHAnsi" w:hAnsiTheme="minorHAnsi" w:eastAsiaTheme="minorEastAsia" w:cstheme="minorBidi"/>
    </w:rPr>
  </w:style>
  <w:style w:type="paragraph" w:customStyle="1" w:styleId="43">
    <w:name w:val="G表标题"/>
    <w:basedOn w:val="1"/>
    <w:link w:val="44"/>
    <w:qFormat/>
    <w:uiPriority w:val="0"/>
    <w:pPr>
      <w:spacing w:before="240" w:after="120"/>
      <w:ind w:right="238" w:firstLine="0"/>
      <w:jc w:val="center"/>
      <w:outlineLvl w:val="6"/>
    </w:pPr>
    <w:rPr>
      <w:rFonts w:eastAsia="黑体"/>
      <w:b/>
    </w:rPr>
  </w:style>
  <w:style w:type="character" w:customStyle="1" w:styleId="44">
    <w:name w:val="G表标题 字符"/>
    <w:basedOn w:val="21"/>
    <w:link w:val="43"/>
    <w:qFormat/>
    <w:uiPriority w:val="0"/>
    <w:rPr>
      <w:rFonts w:ascii="Times New Roman" w:hAnsi="Times New Roman" w:eastAsia="黑体" w:cs="Times New Roman"/>
      <w:b/>
      <w:kern w:val="2"/>
      <w:sz w:val="21"/>
      <w:szCs w:val="22"/>
    </w:rPr>
  </w:style>
  <w:style w:type="paragraph" w:customStyle="1" w:styleId="45">
    <w:name w:val="G图标题"/>
    <w:basedOn w:val="1"/>
    <w:link w:val="46"/>
    <w:qFormat/>
    <w:uiPriority w:val="0"/>
    <w:pPr>
      <w:spacing w:before="120" w:after="240"/>
      <w:ind w:firstLine="0"/>
      <w:jc w:val="center"/>
    </w:pPr>
    <w:rPr>
      <w:iCs/>
      <w:sz w:val="22"/>
    </w:rPr>
  </w:style>
  <w:style w:type="character" w:customStyle="1" w:styleId="46">
    <w:name w:val="G图标题 字符"/>
    <w:basedOn w:val="21"/>
    <w:link w:val="45"/>
    <w:qFormat/>
    <w:uiPriority w:val="0"/>
    <w:rPr>
      <w:rFonts w:ascii="Times New Roman" w:hAnsi="Times New Roman" w:eastAsia="宋体" w:cs="Times New Roman"/>
      <w:iCs/>
      <w:kern w:val="2"/>
      <w:sz w:val="22"/>
      <w:szCs w:val="22"/>
    </w:rPr>
  </w:style>
  <w:style w:type="character" w:customStyle="1" w:styleId="47">
    <w:name w:val="页眉 字符"/>
    <w:basedOn w:val="21"/>
    <w:link w:val="12"/>
    <w:qFormat/>
    <w:uiPriority w:val="99"/>
    <w:rPr>
      <w:rFonts w:ascii="Times New Roman" w:hAnsi="Times New Roman" w:eastAsia="宋体" w:cs="Times New Roman"/>
      <w:kern w:val="2"/>
      <w:sz w:val="18"/>
      <w:szCs w:val="18"/>
    </w:rPr>
  </w:style>
  <w:style w:type="character" w:customStyle="1" w:styleId="48">
    <w:name w:val="页脚 字符"/>
    <w:basedOn w:val="21"/>
    <w:link w:val="11"/>
    <w:qFormat/>
    <w:uiPriority w:val="99"/>
    <w:rPr>
      <w:rFonts w:ascii="Times New Roman" w:hAnsi="Times New Roman" w:eastAsia="宋体" w:cs="Times New Roman"/>
      <w:kern w:val="2"/>
      <w:sz w:val="18"/>
      <w:szCs w:val="18"/>
    </w:rPr>
  </w:style>
  <w:style w:type="character" w:customStyle="1" w:styleId="49">
    <w:name w:val="ref"/>
    <w:basedOn w:val="21"/>
    <w:qFormat/>
    <w:uiPriority w:val="0"/>
  </w:style>
  <w:style w:type="character" w:customStyle="1" w:styleId="50">
    <w:name w:val="日期 字符"/>
    <w:basedOn w:val="21"/>
    <w:link w:val="10"/>
    <w:semiHidden/>
    <w:qFormat/>
    <w:uiPriority w:val="99"/>
    <w:rPr>
      <w:rFonts w:ascii="Times New Roman" w:hAnsi="Times New Roman" w:eastAsia="宋体" w:cs="Times New Roman"/>
      <w:kern w:val="2"/>
      <w:szCs w:val="22"/>
    </w:rPr>
  </w:style>
  <w:style w:type="paragraph" w:customStyle="1" w:styleId="51">
    <w:name w:val="书目1"/>
    <w:basedOn w:val="1"/>
    <w:next w:val="1"/>
    <w:unhideWhenUsed/>
    <w:qFormat/>
    <w:uiPriority w:val="37"/>
    <w:pPr>
      <w:tabs>
        <w:tab w:val="left" w:pos="500"/>
      </w:tabs>
      <w:spacing w:line="240" w:lineRule="exact"/>
      <w:ind w:left="720" w:hanging="720"/>
    </w:pPr>
  </w:style>
  <w:style w:type="paragraph" w:customStyle="1" w:styleId="52">
    <w:name w:val="ordinary-output"/>
    <w:basedOn w:val="1"/>
    <w:qFormat/>
    <w:uiPriority w:val="0"/>
    <w:pPr>
      <w:widowControl/>
      <w:spacing w:before="100" w:beforeAutospacing="1" w:after="100" w:afterAutospacing="1"/>
      <w:ind w:firstLine="0"/>
      <w:jc w:val="left"/>
    </w:pPr>
    <w:rPr>
      <w:rFonts w:ascii="宋体" w:hAnsi="宋体" w:cs="宋体"/>
      <w:kern w:val="0"/>
      <w:szCs w:val="24"/>
    </w:rPr>
  </w:style>
  <w:style w:type="character" w:customStyle="1" w:styleId="53">
    <w:name w:val="脚注文本 字符"/>
    <w:basedOn w:val="21"/>
    <w:link w:val="14"/>
    <w:qFormat/>
    <w:uiPriority w:val="99"/>
    <w:rPr>
      <w:rFonts w:ascii="Times New Roman" w:hAnsi="Times New Roman" w:eastAsia="宋体" w:cs="Times New Roman"/>
      <w:kern w:val="2"/>
      <w:sz w:val="18"/>
      <w:szCs w:val="18"/>
    </w:rPr>
  </w:style>
  <w:style w:type="paragraph" w:customStyle="1" w:styleId="5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5">
    <w:name w:val="Pa16"/>
    <w:basedOn w:val="54"/>
    <w:next w:val="54"/>
    <w:qFormat/>
    <w:uiPriority w:val="99"/>
    <w:pPr>
      <w:spacing w:line="181" w:lineRule="atLeast"/>
    </w:pPr>
    <w:rPr>
      <w:rFonts w:ascii="方正书宋" w:eastAsia="方正书宋" w:hAnsiTheme="minorHAnsi" w:cstheme="minorBidi"/>
      <w:color w:val="auto"/>
    </w:rPr>
  </w:style>
  <w:style w:type="paragraph" w:customStyle="1" w:styleId="56">
    <w:name w:val="Pa26"/>
    <w:basedOn w:val="54"/>
    <w:next w:val="54"/>
    <w:qFormat/>
    <w:uiPriority w:val="99"/>
    <w:pPr>
      <w:spacing w:line="201" w:lineRule="atLeast"/>
    </w:pPr>
    <w:rPr>
      <w:rFonts w:ascii="方正书宋" w:eastAsia="方正书宋" w:hAnsiTheme="minorHAnsi" w:cstheme="minorBidi"/>
      <w:color w:val="auto"/>
    </w:rPr>
  </w:style>
  <w:style w:type="character" w:customStyle="1" w:styleId="57">
    <w:name w:val="A17"/>
    <w:qFormat/>
    <w:uiPriority w:val="99"/>
    <w:rPr>
      <w:rFonts w:cs="方正书宋"/>
      <w:color w:val="211D1E"/>
      <w:sz w:val="11"/>
      <w:szCs w:val="11"/>
    </w:rPr>
  </w:style>
  <w:style w:type="character" w:styleId="58">
    <w:name w:val="Placeholder Text"/>
    <w:basedOn w:val="21"/>
    <w:semiHidden/>
    <w:qFormat/>
    <w:uiPriority w:val="99"/>
    <w:rPr>
      <w:color w:val="808080"/>
    </w:rPr>
  </w:style>
  <w:style w:type="paragraph" w:customStyle="1" w:styleId="59">
    <w:name w:val="文内公式"/>
    <w:basedOn w:val="1"/>
    <w:link w:val="60"/>
    <w:qFormat/>
    <w:uiPriority w:val="0"/>
    <w:pPr>
      <w:spacing w:before="60" w:after="60"/>
    </w:pPr>
    <w:rPr>
      <w:rFonts w:ascii="宋体" w:hAnsi="宋体"/>
      <w:szCs w:val="24"/>
    </w:rPr>
  </w:style>
  <w:style w:type="character" w:customStyle="1" w:styleId="60">
    <w:name w:val="文内公式 字符"/>
    <w:basedOn w:val="21"/>
    <w:link w:val="59"/>
    <w:qFormat/>
    <w:uiPriority w:val="0"/>
    <w:rPr>
      <w:rFonts w:ascii="宋体" w:hAnsi="宋体" w:eastAsia="宋体" w:cs="Times New Roman"/>
      <w:kern w:val="2"/>
    </w:rPr>
  </w:style>
  <w:style w:type="character" w:customStyle="1" w:styleId="61">
    <w:name w:val="脚注文本 字符1"/>
    <w:qFormat/>
    <w:uiPriority w:val="99"/>
    <w:rPr>
      <w:rFonts w:ascii="Times New Roman" w:hAnsi="Times New Roman" w:eastAsia="宋体" w:cs="Times New Roman"/>
      <w:sz w:val="18"/>
      <w:szCs w:val="18"/>
    </w:rPr>
  </w:style>
  <w:style w:type="paragraph" w:styleId="62">
    <w:name w:val="No Spacing"/>
    <w:basedOn w:val="51"/>
    <w:qFormat/>
    <w:uiPriority w:val="1"/>
    <w:pPr>
      <w:spacing w:before="60" w:line="320" w:lineRule="exact"/>
    </w:pPr>
    <w:rPr>
      <w:szCs w:val="21"/>
    </w:rPr>
  </w:style>
  <w:style w:type="character" w:customStyle="1" w:styleId="63">
    <w:name w:val="批注文字 字符"/>
    <w:basedOn w:val="21"/>
    <w:link w:val="7"/>
    <w:qFormat/>
    <w:uiPriority w:val="99"/>
    <w:rPr>
      <w:kern w:val="2"/>
      <w:sz w:val="21"/>
      <w:szCs w:val="22"/>
    </w:rPr>
  </w:style>
  <w:style w:type="character" w:customStyle="1" w:styleId="64">
    <w:name w:val="未处理的提及1"/>
    <w:basedOn w:val="21"/>
    <w:semiHidden/>
    <w:unhideWhenUsed/>
    <w:qFormat/>
    <w:uiPriority w:val="99"/>
    <w:rPr>
      <w:color w:val="605E5C"/>
      <w:shd w:val="clear" w:color="auto" w:fill="E1DFDD"/>
    </w:rPr>
  </w:style>
  <w:style w:type="character" w:customStyle="1" w:styleId="65">
    <w:name w:val="批注主题 字符"/>
    <w:basedOn w:val="63"/>
    <w:link w:val="18"/>
    <w:semiHidden/>
    <w:qFormat/>
    <w:uiPriority w:val="99"/>
    <w:rPr>
      <w:rFonts w:ascii="Times New Roman" w:hAnsi="Times New Roman" w:eastAsia="宋体" w:cs="Times New Roman"/>
      <w:b/>
      <w:bCs/>
      <w:kern w:val="2"/>
      <w:sz w:val="21"/>
      <w:szCs w:val="22"/>
    </w:rPr>
  </w:style>
  <w:style w:type="paragraph" w:customStyle="1" w:styleId="66">
    <w:name w:val="1一级标题"/>
    <w:basedOn w:val="1"/>
    <w:link w:val="67"/>
    <w:qFormat/>
    <w:uiPriority w:val="0"/>
    <w:pPr>
      <w:spacing w:before="240" w:after="120"/>
      <w:ind w:firstLine="0"/>
    </w:pPr>
    <w:rPr>
      <w:rFonts w:eastAsia="黑体"/>
    </w:rPr>
  </w:style>
  <w:style w:type="character" w:customStyle="1" w:styleId="67">
    <w:name w:val="1一级标题 字符"/>
    <w:basedOn w:val="21"/>
    <w:link w:val="66"/>
    <w:qFormat/>
    <w:uiPriority w:val="0"/>
    <w:rPr>
      <w:rFonts w:ascii="Times New Roman" w:hAnsi="Times New Roman" w:eastAsia="黑体" w:cs="Times New Roman"/>
      <w:kern w:val="2"/>
      <w:szCs w:val="22"/>
    </w:rPr>
  </w:style>
  <w:style w:type="character" w:customStyle="1" w:styleId="68">
    <w:name w:val="纯文本 字符1"/>
    <w:basedOn w:val="21"/>
    <w:link w:val="9"/>
    <w:qFormat/>
    <w:uiPriority w:val="0"/>
    <w:rPr>
      <w:rFonts w:ascii="宋体" w:hAnsi="Courier New" w:eastAsia="宋体" w:cs="幼圆"/>
      <w:kern w:val="2"/>
      <w:sz w:val="21"/>
      <w:szCs w:val="21"/>
    </w:rPr>
  </w:style>
  <w:style w:type="character" w:customStyle="1" w:styleId="69">
    <w:name w:val="纯文本 字符"/>
    <w:basedOn w:val="21"/>
    <w:semiHidden/>
    <w:qFormat/>
    <w:uiPriority w:val="99"/>
    <w:rPr>
      <w:rFonts w:hAnsi="Courier New" w:cs="Courier New" w:asciiTheme="minorEastAsia"/>
      <w:sz w:val="24"/>
    </w:rPr>
  </w:style>
  <w:style w:type="character" w:customStyle="1" w:styleId="70">
    <w:name w:val="页眉 Char"/>
    <w:qFormat/>
    <w:uiPriority w:val="99"/>
    <w:rPr>
      <w:rFonts w:ascii="Times New Roman" w:hAnsi="Times New Roman" w:eastAsia="宋体" w:cs="Times New Roman"/>
      <w:sz w:val="18"/>
      <w:szCs w:val="18"/>
    </w:rPr>
  </w:style>
  <w:style w:type="character" w:customStyle="1" w:styleId="71">
    <w:name w:val="页脚 Char"/>
    <w:qFormat/>
    <w:uiPriority w:val="99"/>
    <w:rPr>
      <w:rFonts w:ascii="Times New Roman" w:hAnsi="Times New Roman" w:eastAsia="宋体" w:cs="Times New Roman"/>
      <w:sz w:val="18"/>
      <w:szCs w:val="18"/>
    </w:rPr>
  </w:style>
  <w:style w:type="character" w:customStyle="1" w:styleId="72">
    <w:name w:val="脚注文本 Char"/>
    <w:semiHidden/>
    <w:qFormat/>
    <w:uiPriority w:val="99"/>
    <w:rPr>
      <w:rFonts w:ascii="Times New Roman" w:hAnsi="Times New Roman" w:eastAsia="宋体" w:cs="Times New Roman"/>
      <w:sz w:val="18"/>
      <w:szCs w:val="18"/>
    </w:rPr>
  </w:style>
  <w:style w:type="paragraph" w:customStyle="1" w:styleId="73">
    <w:name w:val="1"/>
    <w:basedOn w:val="1"/>
    <w:next w:val="1"/>
    <w:autoRedefine/>
    <w:unhideWhenUsed/>
    <w:qFormat/>
    <w:uiPriority w:val="39"/>
    <w:pPr>
      <w:tabs>
        <w:tab w:val="right" w:leader="dot" w:pos="8948"/>
      </w:tabs>
      <w:ind w:left="200" w:leftChars="200" w:firstLine="0"/>
    </w:pPr>
    <w:rPr>
      <w:szCs w:val="24"/>
    </w:rPr>
  </w:style>
  <w:style w:type="paragraph" w:customStyle="1" w:styleId="74">
    <w:name w:val="脚注"/>
    <w:basedOn w:val="14"/>
    <w:link w:val="76"/>
    <w:qFormat/>
    <w:uiPriority w:val="0"/>
    <w:pPr>
      <w:ind w:left="270" w:hanging="270" w:hangingChars="150"/>
    </w:pPr>
  </w:style>
  <w:style w:type="paragraph" w:customStyle="1" w:styleId="75">
    <w:name w:val="表格注释"/>
    <w:basedOn w:val="43"/>
    <w:link w:val="77"/>
    <w:qFormat/>
    <w:uiPriority w:val="0"/>
    <w:pPr>
      <w:spacing w:before="120" w:after="240"/>
      <w:ind w:right="0"/>
      <w:jc w:val="left"/>
    </w:pPr>
    <w:rPr>
      <w:sz w:val="18"/>
      <w:szCs w:val="18"/>
    </w:rPr>
  </w:style>
  <w:style w:type="character" w:customStyle="1" w:styleId="76">
    <w:name w:val="脚注 字符"/>
    <w:basedOn w:val="53"/>
    <w:link w:val="74"/>
    <w:qFormat/>
    <w:uiPriority w:val="0"/>
    <w:rPr>
      <w:rFonts w:ascii="Times New Roman" w:hAnsi="Times New Roman" w:eastAsia="宋体" w:cs="Times New Roman"/>
      <w:kern w:val="2"/>
      <w:sz w:val="18"/>
      <w:szCs w:val="18"/>
    </w:rPr>
  </w:style>
  <w:style w:type="character" w:customStyle="1" w:styleId="77">
    <w:name w:val="表格注释 字符"/>
    <w:basedOn w:val="44"/>
    <w:link w:val="75"/>
    <w:qFormat/>
    <w:uiPriority w:val="0"/>
    <w:rPr>
      <w:rFonts w:ascii="Times New Roman" w:hAnsi="Times New Roman" w:eastAsia="宋体" w:cs="Times New Roman"/>
      <w:kern w:val="2"/>
      <w:sz w:val="18"/>
      <w:szCs w:val="18"/>
    </w:rPr>
  </w:style>
  <w:style w:type="paragraph" w:customStyle="1" w:styleId="78">
    <w:name w:val="目录章标题"/>
    <w:basedOn w:val="13"/>
    <w:link w:val="81"/>
    <w:qFormat/>
    <w:uiPriority w:val="0"/>
    <w:pPr>
      <w:ind w:left="100" w:right="100"/>
    </w:pPr>
  </w:style>
  <w:style w:type="paragraph" w:customStyle="1" w:styleId="79">
    <w:name w:val="目录 其他"/>
    <w:basedOn w:val="16"/>
    <w:link w:val="83"/>
    <w:qFormat/>
    <w:uiPriority w:val="0"/>
    <w:pPr>
      <w:ind w:left="59"/>
    </w:pPr>
    <w:rPr>
      <w:rFonts w:ascii="宋体" w:hAnsi="宋体"/>
    </w:rPr>
  </w:style>
  <w:style w:type="character" w:customStyle="1" w:styleId="80">
    <w:name w:val="TOC 1 字符"/>
    <w:basedOn w:val="21"/>
    <w:link w:val="13"/>
    <w:qFormat/>
    <w:uiPriority w:val="39"/>
    <w:rPr>
      <w:rFonts w:ascii="黑体" w:hAnsi="黑体" w:eastAsia="黑体" w:cs="Times New Roman"/>
      <w:kern w:val="2"/>
      <w:szCs w:val="22"/>
    </w:rPr>
  </w:style>
  <w:style w:type="character" w:customStyle="1" w:styleId="81">
    <w:name w:val="目录章标题 字符"/>
    <w:basedOn w:val="80"/>
    <w:link w:val="78"/>
    <w:qFormat/>
    <w:uiPriority w:val="0"/>
    <w:rPr>
      <w:rFonts w:ascii="黑体" w:hAnsi="黑体" w:eastAsia="黑体" w:cs="Times New Roman"/>
      <w:kern w:val="2"/>
      <w:szCs w:val="22"/>
    </w:rPr>
  </w:style>
  <w:style w:type="character" w:customStyle="1" w:styleId="82">
    <w:name w:val="TOC 2 字符"/>
    <w:basedOn w:val="21"/>
    <w:link w:val="16"/>
    <w:qFormat/>
    <w:uiPriority w:val="39"/>
    <w:rPr>
      <w:rFonts w:ascii="Times New Roman" w:hAnsi="Times New Roman" w:eastAsia="宋体" w:cs="Times New Roman"/>
      <w:kern w:val="2"/>
      <w:szCs w:val="22"/>
    </w:rPr>
  </w:style>
  <w:style w:type="character" w:customStyle="1" w:styleId="83">
    <w:name w:val="目录 其他 字符"/>
    <w:basedOn w:val="82"/>
    <w:link w:val="79"/>
    <w:qFormat/>
    <w:uiPriority w:val="0"/>
    <w:rPr>
      <w:rFonts w:ascii="宋体" w:hAnsi="宋体" w:eastAsia="宋体" w:cs="Times New Roman"/>
      <w:kern w:val="2"/>
      <w:szCs w:val="22"/>
    </w:rPr>
  </w:style>
  <w:style w:type="paragraph" w:customStyle="1" w:styleId="84">
    <w:name w:val="修订1"/>
    <w:hidden/>
    <w:semiHidden/>
    <w:qFormat/>
    <w:uiPriority w:val="99"/>
    <w:rPr>
      <w:rFonts w:ascii="Times New Roman" w:hAnsi="Times New Roman" w:eastAsia="宋体" w:cs="Times New Roman"/>
      <w:kern w:val="2"/>
      <w:sz w:val="24"/>
      <w:szCs w:val="22"/>
      <w:lang w:val="en-US" w:eastAsia="zh-CN" w:bidi="ar-SA"/>
    </w:rPr>
  </w:style>
  <w:style w:type="paragraph" w:customStyle="1" w:styleId="85">
    <w:name w:val="公式2字符"/>
    <w:basedOn w:val="1"/>
    <w:link w:val="86"/>
    <w:qFormat/>
    <w:uiPriority w:val="0"/>
    <w:pPr>
      <w:tabs>
        <w:tab w:val="center" w:pos="4514"/>
        <w:tab w:val="right" w:pos="8581"/>
      </w:tabs>
      <w:spacing w:before="120" w:after="120"/>
      <w:ind w:firstLine="0" w:firstLineChars="0"/>
    </w:pPr>
  </w:style>
  <w:style w:type="character" w:customStyle="1" w:styleId="86">
    <w:name w:val="公式2字符 字符"/>
    <w:basedOn w:val="21"/>
    <w:link w:val="85"/>
    <w:qFormat/>
    <w:uiPriority w:val="0"/>
    <w:rPr>
      <w:rFonts w:ascii="Times New Roman" w:hAnsi="Times New Roman" w:eastAsia="宋体" w:cs="Times New Roman"/>
      <w:kern w:val="2"/>
      <w:sz w:val="21"/>
      <w:szCs w:val="22"/>
    </w:rPr>
  </w:style>
  <w:style w:type="character" w:customStyle="1" w:styleId="87">
    <w:name w:val="katex-mathml"/>
    <w:basedOn w:val="21"/>
    <w:qFormat/>
    <w:uiPriority w:val="0"/>
  </w:style>
  <w:style w:type="character" w:customStyle="1" w:styleId="88">
    <w:name w:val="mord"/>
    <w:basedOn w:val="21"/>
    <w:qFormat/>
    <w:uiPriority w:val="0"/>
  </w:style>
  <w:style w:type="character" w:customStyle="1" w:styleId="89">
    <w:name w:val="mrel"/>
    <w:basedOn w:val="21"/>
    <w:qFormat/>
    <w:uiPriority w:val="0"/>
  </w:style>
  <w:style w:type="paragraph" w:customStyle="1" w:styleId="90">
    <w:name w:val="修订2"/>
    <w:hidden/>
    <w:unhideWhenUsed/>
    <w:qFormat/>
    <w:uiPriority w:val="99"/>
    <w:rPr>
      <w:rFonts w:ascii="Times New Roman" w:hAnsi="Times New Roman" w:eastAsia="宋体" w:cs="Times New Roman"/>
      <w:kern w:val="2"/>
      <w:sz w:val="21"/>
      <w:szCs w:val="22"/>
      <w:lang w:val="en-US" w:eastAsia="zh-CN" w:bidi="ar-SA"/>
    </w:rPr>
  </w:style>
  <w:style w:type="character" w:customStyle="1" w:styleId="91">
    <w:name w:val="未处理的提及2"/>
    <w:basedOn w:val="21"/>
    <w:semiHidden/>
    <w:unhideWhenUsed/>
    <w:qFormat/>
    <w:uiPriority w:val="99"/>
    <w:rPr>
      <w:color w:val="605E5C"/>
      <w:shd w:val="clear" w:color="auto" w:fill="E1DFDD"/>
    </w:rPr>
  </w:style>
  <w:style w:type="paragraph" w:customStyle="1" w:styleId="92">
    <w:name w:val="p1"/>
    <w:basedOn w:val="1"/>
    <w:qFormat/>
    <w:uiPriority w:val="0"/>
    <w:pPr>
      <w:widowControl/>
      <w:ind w:firstLine="0" w:firstLineChars="0"/>
      <w:jc w:val="left"/>
    </w:pPr>
    <w:rPr>
      <w:rFonts w:ascii="Helvetica" w:hAnsi="Helvetica" w:eastAsia="Times New Roman"/>
      <w:color w:val="000000"/>
      <w:kern w:val="0"/>
      <w:sz w:val="13"/>
      <w:szCs w:val="13"/>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2823;&#25968;&#25454;&#23454;&#35777;32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201166180758"/>
          <c:y val="0.0397770993303882"/>
          <c:w val="0.730233236151603"/>
          <c:h val="0.776302232398397"/>
        </c:manualLayout>
      </c:layout>
      <c:lineChart>
        <c:grouping val="standard"/>
        <c:varyColors val="0"/>
        <c:ser>
          <c:idx val="0"/>
          <c:order val="0"/>
          <c:tx>
            <c:strRef>
              <c:f>[大数据实证328.xlsx]Sheet13!$F$13</c:f>
              <c:strCache>
                <c:ptCount val="1"/>
                <c:pt idx="0">
                  <c:v>试验区</c:v>
                </c:pt>
              </c:strCache>
            </c:strRef>
          </c:tx>
          <c:spPr>
            <a:ln w="0" cap="rnd">
              <a:solidFill>
                <a:srgbClr val="000000"/>
              </a:solidFill>
              <a:round/>
            </a:ln>
            <a:effectLst/>
          </c:spPr>
          <c:marker>
            <c:symbol val="square"/>
            <c:size val="5"/>
            <c:spPr>
              <a:solidFill>
                <a:srgbClr val="000000"/>
              </a:solidFill>
              <a:ln w="9525">
                <a:solidFill>
                  <a:srgbClr val="000000"/>
                </a:solidFill>
              </a:ln>
              <a:effectLst/>
            </c:spPr>
          </c:marker>
          <c:dLbls>
            <c:delete val="1"/>
          </c:dLbls>
          <c:cat>
            <c:numRef>
              <c:f>[大数据实证328.xlsx]Sheet13!$G$12:$S$12</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[大数据实证328.xlsx]Sheet13!$G$13:$S$13</c:f>
              <c:numCache>
                <c:formatCode>General</c:formatCode>
                <c:ptCount val="13"/>
                <c:pt idx="0">
                  <c:v>0.238</c:v>
                </c:pt>
                <c:pt idx="1">
                  <c:v>0.243</c:v>
                </c:pt>
                <c:pt idx="2">
                  <c:v>0.242</c:v>
                </c:pt>
                <c:pt idx="3">
                  <c:v>0.251</c:v>
                </c:pt>
                <c:pt idx="4">
                  <c:v>0.25</c:v>
                </c:pt>
                <c:pt idx="5">
                  <c:v>0.264</c:v>
                </c:pt>
                <c:pt idx="6">
                  <c:v>0.274</c:v>
                </c:pt>
                <c:pt idx="7">
                  <c:v>0.275</c:v>
                </c:pt>
                <c:pt idx="8">
                  <c:v>0.283</c:v>
                </c:pt>
                <c:pt idx="9">
                  <c:v>0.286</c:v>
                </c:pt>
                <c:pt idx="10">
                  <c:v>0.296</c:v>
                </c:pt>
                <c:pt idx="11">
                  <c:v>0.308</c:v>
                </c:pt>
                <c:pt idx="12">
                  <c:v>0.316</c:v>
                </c:pt>
              </c:numCache>
            </c:numRef>
          </c:val>
          <c:smooth val="1"/>
        </c:ser>
        <c:ser>
          <c:idx val="1"/>
          <c:order val="1"/>
          <c:tx>
            <c:strRef>
              <c:f>[大数据实证328.xlsx]Sheet13!$F$14</c:f>
              <c:strCache>
                <c:ptCount val="1"/>
                <c:pt idx="0">
                  <c:v>非试验区</c:v>
                </c:pt>
              </c:strCache>
            </c:strRef>
          </c:tx>
          <c:spPr>
            <a:ln w="12700" cap="rnd" cmpd="sng">
              <a:solidFill>
                <a:schemeClr val="bg1">
                  <a:lumMod val="50000"/>
                </a:schemeClr>
              </a:solidFill>
              <a:prstDash val="sysDash"/>
              <a:round/>
            </a:ln>
            <a:effectLst/>
          </c:spPr>
          <c:marker>
            <c:symbol val="triangle"/>
            <c:size val="5"/>
            <c:spPr>
              <a:solidFill>
                <a:schemeClr val="bg1">
                  <a:lumMod val="65000"/>
                </a:schemeClr>
              </a:solidFill>
              <a:ln w="9525">
                <a:solidFill>
                  <a:schemeClr val="bg1">
                    <a:lumMod val="65000"/>
                  </a:schemeClr>
                </a:solidFill>
              </a:ln>
              <a:effectLst/>
            </c:spPr>
          </c:marker>
          <c:dLbls>
            <c:delete val="1"/>
          </c:dLbls>
          <c:cat>
            <c:numRef>
              <c:f>[大数据实证328.xlsx]Sheet13!$G$12:$S$12</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[大数据实证328.xlsx]Sheet13!$G$14:$S$14</c:f>
              <c:numCache>
                <c:formatCode>General</c:formatCode>
                <c:ptCount val="13"/>
                <c:pt idx="0">
                  <c:v>0.201</c:v>
                </c:pt>
                <c:pt idx="1">
                  <c:v>0.206</c:v>
                </c:pt>
                <c:pt idx="2">
                  <c:v>0.206</c:v>
                </c:pt>
                <c:pt idx="3">
                  <c:v>0.21</c:v>
                </c:pt>
                <c:pt idx="4">
                  <c:v>0.209</c:v>
                </c:pt>
                <c:pt idx="5">
                  <c:v>0.22</c:v>
                </c:pt>
                <c:pt idx="6">
                  <c:v>0.226</c:v>
                </c:pt>
                <c:pt idx="7">
                  <c:v>0.227</c:v>
                </c:pt>
                <c:pt idx="8">
                  <c:v>0.234</c:v>
                </c:pt>
                <c:pt idx="9">
                  <c:v>0.237</c:v>
                </c:pt>
                <c:pt idx="10">
                  <c:v>0.241</c:v>
                </c:pt>
                <c:pt idx="11">
                  <c:v>0.258</c:v>
                </c:pt>
                <c:pt idx="12">
                  <c:v>0.264</c:v>
                </c:pt>
              </c:numCache>
            </c:numRef>
          </c:val>
          <c:smooth val="0"/>
        </c:ser>
        <c:dLbls>
          <c:showLegendKey val="0"/>
          <c:showVal val="0"/>
          <c:showCatName val="0"/>
          <c:showSerName val="0"/>
          <c:showPercent val="0"/>
          <c:showBubbleSize val="0"/>
        </c:dLbls>
        <c:marker val="1"/>
        <c:smooth val="1"/>
        <c:axId val="245271681"/>
        <c:axId val="457190674"/>
      </c:lineChart>
      <c:catAx>
        <c:axId val="245271681"/>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zh-CN" altLang="en-US" sz="900" b="0">
                    <a:solidFill>
                      <a:schemeClr val="tx1"/>
                    </a:solidFill>
                  </a:rPr>
                  <a:t>（年份）</a:t>
                </a:r>
                <a:endParaRPr lang="zh-CN" altLang="en-US" sz="900" b="0">
                  <a:solidFill>
                    <a:schemeClr val="tx1"/>
                  </a:solidFill>
                </a:endParaRPr>
              </a:p>
            </c:rich>
          </c:tx>
          <c:layout>
            <c:manualLayout>
              <c:xMode val="edge"/>
              <c:yMode val="edge"/>
              <c:x val="0.868075801749271"/>
              <c:y val="0.846449710312149"/>
            </c:manualLayout>
          </c:layout>
          <c:overlay val="0"/>
          <c:spPr>
            <a:noFill/>
            <a:ln>
              <a:noFill/>
            </a:ln>
            <a:effectLst/>
          </c:spPr>
        </c:title>
        <c:numFmt formatCode="General" sourceLinked="0"/>
        <c:majorTickMark val="in"/>
        <c:minorTickMark val="none"/>
        <c:tickLblPos val="nextTo"/>
        <c:spPr>
          <a:noFill/>
          <a:ln w="9525" cap="flat" cmpd="sng" algn="ctr">
            <a:solidFill>
              <a:srgbClr val="000000"/>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57190674"/>
        <c:crosses val="autoZero"/>
        <c:auto val="1"/>
        <c:lblAlgn val="ctr"/>
        <c:lblOffset val="100"/>
        <c:noMultiLvlLbl val="0"/>
      </c:catAx>
      <c:valAx>
        <c:axId val="457190674"/>
        <c:scaling>
          <c:orientation val="minMax"/>
          <c:min val="0.16"/>
        </c:scaling>
        <c:delete val="0"/>
        <c:axPos val="l"/>
        <c:title>
          <c:tx>
            <c:rich>
              <a:bodyPr rot="-5400000" spcFirstLastPara="0" vertOverflow="ellipsis" vert="horz" wrap="square" anchor="ctr" anchorCtr="1"/>
              <a:lstStyle/>
              <a:p>
                <a:pPr defTabSz="914400">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zh-CN" altLang="en-US" sz="900" b="0">
                    <a:solidFill>
                      <a:schemeClr val="tx1"/>
                    </a:solidFill>
                  </a:rPr>
                  <a:t>科产融合水平</a:t>
                </a:r>
                <a:endParaRPr lang="zh-CN" altLang="en-US" sz="900" b="0">
                  <a:solidFill>
                    <a:schemeClr val="tx1"/>
                  </a:solidFill>
                </a:endParaRPr>
              </a:p>
            </c:rich>
          </c:tx>
          <c:layout>
            <c:manualLayout>
              <c:xMode val="edge"/>
              <c:yMode val="edge"/>
              <c:x val="0.0194972175261034"/>
              <c:y val="0.166768691695437"/>
            </c:manualLayout>
          </c:layout>
          <c:overlay val="0"/>
          <c:spPr>
            <a:noFill/>
            <a:ln>
              <a:noFill/>
            </a:ln>
            <a:effectLst/>
          </c:spPr>
        </c:title>
        <c:numFmt formatCode="General" sourceLinked="1"/>
        <c:majorTickMark val="in"/>
        <c:minorTickMark val="none"/>
        <c:tickLblPos val="nextTo"/>
        <c:spPr>
          <a:noFill/>
          <a:ln>
            <a:solidFill>
              <a:srgbClr val="000000"/>
            </a:solidFill>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45271681"/>
        <c:crosses val="autoZero"/>
        <c:crossBetween val="between"/>
        <c:majorUnit val="0.03"/>
        <c:minorUnit val="0.008"/>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manualLayout>
          <c:xMode val="edge"/>
          <c:yMode val="edge"/>
          <c:x val="0.347521865889213"/>
          <c:y val="0.914997137950773"/>
          <c:w val="0.343294460641399"/>
          <c:h val="0.0764167143674871"/>
        </c:manualLayout>
      </c:layout>
      <c:overlay val="0"/>
      <c:spPr>
        <a:noFill/>
        <a:ln w="12700" cmpd="sng">
          <a:noFill/>
          <a:prstDash val="solid"/>
        </a:ln>
        <a:effectLst/>
      </c:spPr>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extLst>
      <c:ext uri="{0b15fc19-7d7d-44ad-8c2d-2c3a37ce22c3}">
        <chartProps xmlns="https://web.wps.cn/et/2018/main" chartId="{3bf43fb1-f0b5-4509-888c-3e8088c36854}"/>
      </c:ext>
    </c:extLst>
  </c:chart>
  <c:spPr>
    <a:solidFill>
      <a:srgbClr val="FFFFFF"/>
    </a:solidFill>
    <a:ln w="9525" cap="flat" cmpd="sng" algn="ctr">
      <a:noFill/>
      <a:round/>
    </a:ln>
    <a:effectLst/>
  </c:spPr>
  <c:txPr>
    <a:bodyPr/>
    <a:lstStyle/>
    <a:p>
      <a:pPr>
        <a:defRPr lang="zh-CN" sz="900" b="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0">
      <cs:styleClr val="auto"/>
    </cs:fillRef>
    <cs:effectRef idx="0"/>
    <cs:fontRef idx="minor">
      <a:srgbClr val="000000"/>
    </cs:fontRef>
    <cs:spPr>
      <a:ln w="28575" cap="rnd">
        <a:solidFill>
          <a:srgbClr val="FFFFFF"/>
        </a:solidFill>
        <a:round/>
      </a:ln>
      <a:effectLst/>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ADA93-E06C-2845-909F-7799D93F9D12}">
  <ds:schemaRefs/>
</ds:datastoreItem>
</file>

<file path=docProps/app.xml><?xml version="1.0" encoding="utf-8"?>
<Properties xmlns="http://schemas.openxmlformats.org/officeDocument/2006/extended-properties" xmlns:vt="http://schemas.openxmlformats.org/officeDocument/2006/docPropsVTypes">
  <Template>Normal.dotm</Template>
  <Pages>7</Pages>
  <Words>735</Words>
  <Characters>778</Characters>
  <Lines>410</Lines>
  <Paragraphs>489</Paragraphs>
  <TotalTime>57</TotalTime>
  <ScaleCrop>false</ScaleCrop>
  <LinksUpToDate>false</LinksUpToDate>
  <CharactersWithSpaces>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2025-06-16T21:58:00Z</dcterms:created>
  <dc:creator>Administrator</dc:creator>
  <cp:lastModifiedBy>国</cp:lastModifiedBy>
  <cp:lastPrinted>2024-10-17T00:16:00Z</cp:lastPrinted>
  <dcterms:modified xsi:type="dcterms:W3CDTF">2026-03-29T09:52:51Z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id="YREHv88v"/&gt;&lt;style id="http://www.zotero.org/styles/china-economic-review" hasBibliography="1" bibliographyStyleHasBeenSet="0"/&gt;&lt;prefs&gt;&lt;pref name="fieldType" value="Field"/&gt;&lt;pref name="delayCitati</vt:lpwstr>
  </property>
  <property fmtid="{D5CDD505-2E9C-101B-9397-08002B2CF9AE}" pid="3" name="ZOTERO_PREF_2">
    <vt:lpwstr>onUpdates" value="true"/&gt;&lt;pref name="dontAskDelayCitationUpdates" value="true"/&gt;&lt;/prefs&gt;&lt;/data&gt;</vt:lpwstr>
  </property>
  <property fmtid="{D5CDD505-2E9C-101B-9397-08002B2CF9AE}" pid="4" name="KSOProductBuildVer">
    <vt:lpwstr>2052-12.1.0.25225</vt:lpwstr>
  </property>
  <property fmtid="{D5CDD505-2E9C-101B-9397-08002B2CF9AE}" pid="5" name="ICV">
    <vt:lpwstr>79201A3DEAF243758B2012EA2085BF08_13</vt:lpwstr>
  </property>
  <property fmtid="{D5CDD505-2E9C-101B-9397-08002B2CF9AE}" pid="6" name="KSOTemplateDocerSaveRecord">
    <vt:lpwstr>eyJoZGlkIjoiMmJlODMwNzQ0ZjQyYzZlZmRjYjRlYWM2YTZiNzRmMDYiLCJ1c2VySWQiOiI0NzA1NDE3NDcifQ==</vt:lpwstr>
  </property>
</Properties>
</file>