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7335B" w14:textId="40C66D7A" w:rsidR="002930C4" w:rsidRPr="001503A1" w:rsidRDefault="00F769F8" w:rsidP="004A3FC4">
      <w:pPr>
        <w:jc w:val="center"/>
        <w:rPr>
          <w:rFonts w:hint="eastAsia"/>
          <w:color w:val="000000" w:themeColor="text1"/>
        </w:rPr>
      </w:pPr>
      <w:r>
        <w:rPr>
          <w:rFonts w:ascii="楷体" w:eastAsia="楷体" w:hAnsi="楷体" w:cs="Times New Roman" w:hint="eastAsia"/>
          <w:b/>
          <w:bCs/>
          <w:color w:val="000000" w:themeColor="text1"/>
          <w:sz w:val="32"/>
          <w:szCs w:val="32"/>
        </w:rPr>
        <w:t>附</w:t>
      </w:r>
      <w:r w:rsidR="00CB3CF8">
        <w:rPr>
          <w:rFonts w:ascii="楷体" w:eastAsia="楷体" w:hAnsi="楷体" w:cs="Times New Roman" w:hint="eastAsia"/>
          <w:b/>
          <w:bCs/>
          <w:color w:val="000000" w:themeColor="text1"/>
          <w:sz w:val="32"/>
          <w:szCs w:val="32"/>
        </w:rPr>
        <w:t>件2</w:t>
      </w:r>
      <w:r>
        <w:rPr>
          <w:rFonts w:ascii="楷体" w:eastAsia="楷体" w:hAnsi="楷体" w:cs="Times New Roman" w:hint="eastAsia"/>
          <w:b/>
          <w:bCs/>
          <w:color w:val="000000" w:themeColor="text1"/>
          <w:sz w:val="32"/>
          <w:szCs w:val="32"/>
        </w:rPr>
        <w:t>：稳健性检验等内容</w:t>
      </w:r>
    </w:p>
    <w:p w14:paraId="43662E87" w14:textId="083BB4A0" w:rsidR="00253B34" w:rsidRPr="001503A1" w:rsidRDefault="00253B34" w:rsidP="00253B34">
      <w:pPr>
        <w:keepNext/>
        <w:keepLines/>
        <w:ind w:firstLineChars="200" w:firstLine="422"/>
        <w:contextualSpacing/>
        <w:outlineLvl w:val="1"/>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附录</w:t>
      </w:r>
      <w:r w:rsidR="00813817">
        <w:rPr>
          <w:rFonts w:ascii="Times New Roman" w:eastAsia="黑体" w:hAnsi="Times New Roman" w:cs="Times New Roman" w:hint="eastAsia"/>
          <w:b/>
          <w:bCs/>
          <w:color w:val="000000" w:themeColor="text1"/>
          <w:szCs w:val="21"/>
        </w:rPr>
        <w:t>1</w:t>
      </w:r>
      <w:r w:rsidRPr="001503A1">
        <w:rPr>
          <w:rFonts w:ascii="Times New Roman" w:eastAsia="黑体" w:hAnsi="Times New Roman" w:cs="Times New Roman" w:hint="eastAsia"/>
          <w:b/>
          <w:bCs/>
          <w:color w:val="000000" w:themeColor="text1"/>
          <w:szCs w:val="21"/>
        </w:rPr>
        <w:t>：相关性分析</w:t>
      </w:r>
    </w:p>
    <w:p w14:paraId="1BE90601" w14:textId="79EB8EC8" w:rsidR="007D79CD" w:rsidRPr="001503A1" w:rsidRDefault="007D79CD" w:rsidP="00D57B09">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hint="eastAsia"/>
          <w:color w:val="000000" w:themeColor="text1"/>
        </w:rPr>
        <w:t>附表</w:t>
      </w:r>
      <w:r w:rsidRPr="001503A1">
        <w:rPr>
          <w:rFonts w:ascii="Times New Roman" w:eastAsia="宋体" w:hAnsi="Times New Roman" w:cs="Times New Roman" w:hint="eastAsia"/>
          <w:color w:val="000000" w:themeColor="text1"/>
        </w:rPr>
        <w:t>1</w:t>
      </w:r>
      <w:r w:rsidRPr="001503A1">
        <w:rPr>
          <w:rFonts w:ascii="Times New Roman" w:eastAsia="宋体" w:hAnsi="Times New Roman" w:cs="Times New Roman"/>
          <w:color w:val="000000" w:themeColor="text1"/>
        </w:rPr>
        <w:t>报告了各变量之间</w:t>
      </w:r>
      <w:r w:rsidRPr="001503A1">
        <w:rPr>
          <w:rFonts w:ascii="Times New Roman" w:eastAsia="宋体" w:hAnsi="Times New Roman" w:cs="Times New Roman"/>
          <w:color w:val="000000" w:themeColor="text1"/>
        </w:rPr>
        <w:t>Pearson</w:t>
      </w:r>
      <w:r w:rsidRPr="001503A1">
        <w:rPr>
          <w:rFonts w:ascii="Times New Roman" w:eastAsia="宋体" w:hAnsi="Times New Roman" w:cs="Times New Roman"/>
          <w:color w:val="000000" w:themeColor="text1"/>
        </w:rPr>
        <w:t>相关系数的检验结果。其中，国有资本划转</w:t>
      </w:r>
      <w:r w:rsidRPr="007063CC">
        <w:rPr>
          <w:rFonts w:ascii="Times New Roman" w:eastAsia="宋体" w:hAnsi="Times New Roman" w:cs="Times New Roman" w:hint="eastAsia"/>
          <w:i/>
          <w:iCs/>
          <w:color w:val="000000" w:themeColor="text1"/>
        </w:rPr>
        <w:t>Transfer</w:t>
      </w:r>
      <w:r w:rsidRPr="001503A1">
        <w:rPr>
          <w:rFonts w:ascii="Times New Roman" w:eastAsia="宋体" w:hAnsi="Times New Roman" w:cs="Times New Roman"/>
          <w:color w:val="000000" w:themeColor="text1"/>
        </w:rPr>
        <w:t>与企业风险承担</w:t>
      </w:r>
      <w:r w:rsidRPr="001503A1">
        <w:rPr>
          <w:rFonts w:ascii="Times New Roman" w:eastAsia="宋体" w:hAnsi="Times New Roman" w:cs="Times New Roman" w:hint="eastAsia"/>
          <w:color w:val="000000" w:themeColor="text1"/>
        </w:rPr>
        <w:t>Risk</w:t>
      </w:r>
      <w:r w:rsidRPr="001503A1">
        <w:rPr>
          <w:rFonts w:ascii="Times New Roman" w:eastAsia="宋体" w:hAnsi="Times New Roman" w:cs="Times New Roman" w:hint="eastAsia"/>
          <w:color w:val="000000" w:themeColor="text1"/>
        </w:rPr>
        <w:t>之间</w:t>
      </w:r>
      <w:r w:rsidRPr="001503A1">
        <w:rPr>
          <w:rFonts w:ascii="Times New Roman" w:eastAsia="宋体" w:hAnsi="Times New Roman" w:cs="Times New Roman"/>
          <w:color w:val="000000" w:themeColor="text1"/>
        </w:rPr>
        <w:t>的相关系数为</w:t>
      </w:r>
      <w:r w:rsidRPr="001503A1">
        <w:rPr>
          <w:rFonts w:ascii="Times New Roman" w:eastAsia="宋体" w:hAnsi="Times New Roman" w:cs="Times New Roman"/>
          <w:color w:val="000000" w:themeColor="text1"/>
        </w:rPr>
        <w:t>-0.</w:t>
      </w:r>
      <w:r w:rsidRPr="001503A1">
        <w:rPr>
          <w:rFonts w:ascii="Times New Roman" w:eastAsia="宋体" w:hAnsi="Times New Roman" w:cs="Times New Roman" w:hint="eastAsia"/>
          <w:color w:val="000000" w:themeColor="text1"/>
        </w:rPr>
        <w:t>03</w:t>
      </w:r>
      <w:r w:rsidRPr="001503A1">
        <w:rPr>
          <w:rFonts w:ascii="Times New Roman" w:eastAsia="宋体" w:hAnsi="Times New Roman" w:cs="Times New Roman"/>
          <w:color w:val="000000" w:themeColor="text1"/>
        </w:rPr>
        <w:t>2</w:t>
      </w:r>
      <w:r w:rsidRPr="001503A1">
        <w:rPr>
          <w:rFonts w:ascii="Times New Roman" w:eastAsia="宋体" w:hAnsi="Times New Roman" w:cs="Times New Roman"/>
          <w:color w:val="000000" w:themeColor="text1"/>
        </w:rPr>
        <w:t>，且在</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的显著性水平下显著为负，初步说明了国有资本划转与企业风险承担水平之间的负向关系。另外，其余各变量的相关系数绝大部分低于临界值</w:t>
      </w:r>
      <w:r w:rsidRPr="001503A1">
        <w:rPr>
          <w:rFonts w:ascii="Times New Roman" w:eastAsia="宋体" w:hAnsi="Times New Roman" w:cs="Times New Roman"/>
          <w:color w:val="000000" w:themeColor="text1"/>
        </w:rPr>
        <w:t>0.5</w:t>
      </w:r>
      <w:r w:rsidRPr="001503A1">
        <w:rPr>
          <w:rFonts w:ascii="Times New Roman" w:eastAsia="宋体" w:hAnsi="Times New Roman" w:cs="Times New Roman"/>
          <w:color w:val="000000" w:themeColor="text1"/>
        </w:rPr>
        <w:t>，且</w:t>
      </w:r>
      <w:r w:rsidR="009E0C8D" w:rsidRPr="001503A1">
        <w:rPr>
          <w:rFonts w:ascii="Times New Roman" w:eastAsia="宋体" w:hAnsi="Times New Roman" w:cs="Times New Roman" w:hint="eastAsia"/>
          <w:color w:val="000000" w:themeColor="text1"/>
        </w:rPr>
        <w:t>进一步的</w:t>
      </w:r>
      <w:r w:rsidRPr="001503A1">
        <w:rPr>
          <w:rFonts w:ascii="Times New Roman" w:eastAsia="宋体" w:hAnsi="Times New Roman" w:cs="Times New Roman"/>
          <w:color w:val="000000" w:themeColor="text1"/>
        </w:rPr>
        <w:t>VIF</w:t>
      </w:r>
      <w:r w:rsidRPr="001503A1">
        <w:rPr>
          <w:rFonts w:ascii="Times New Roman" w:eastAsia="宋体" w:hAnsi="Times New Roman" w:cs="Times New Roman"/>
          <w:color w:val="000000" w:themeColor="text1"/>
        </w:rPr>
        <w:t>检验</w:t>
      </w:r>
      <w:r w:rsidR="004F0A83" w:rsidRPr="001503A1">
        <w:rPr>
          <w:rFonts w:ascii="Times New Roman" w:eastAsia="宋体" w:hAnsi="Times New Roman" w:cs="Times New Roman" w:hint="eastAsia"/>
          <w:color w:val="000000" w:themeColor="text1"/>
        </w:rPr>
        <w:t>的</w:t>
      </w:r>
      <w:r w:rsidRPr="001503A1">
        <w:rPr>
          <w:rFonts w:ascii="Times New Roman" w:eastAsia="宋体" w:hAnsi="Times New Roman" w:cs="Times New Roman"/>
          <w:color w:val="000000" w:themeColor="text1"/>
        </w:rPr>
        <w:t>均值</w:t>
      </w:r>
      <w:r w:rsidRPr="001503A1">
        <w:rPr>
          <w:rFonts w:ascii="Times New Roman" w:eastAsia="宋体" w:hAnsi="Times New Roman" w:cs="Times New Roman" w:hint="eastAsia"/>
          <w:color w:val="000000" w:themeColor="text1"/>
        </w:rPr>
        <w:t>低于经验值</w:t>
      </w:r>
      <w:r w:rsidRPr="001503A1">
        <w:rPr>
          <w:rFonts w:ascii="Times New Roman" w:eastAsia="宋体" w:hAnsi="Times New Roman" w:cs="Times New Roman" w:hint="eastAsia"/>
          <w:color w:val="000000" w:themeColor="text1"/>
        </w:rPr>
        <w:t>1</w:t>
      </w:r>
      <w:r w:rsidRPr="001503A1">
        <w:rPr>
          <w:rFonts w:ascii="Times New Roman" w:eastAsia="宋体" w:hAnsi="Times New Roman" w:cs="Times New Roman"/>
          <w:color w:val="000000" w:themeColor="text1"/>
        </w:rPr>
        <w:t>0</w:t>
      </w:r>
      <w:r w:rsidRPr="001503A1">
        <w:rPr>
          <w:rFonts w:ascii="Times New Roman" w:eastAsia="宋体" w:hAnsi="Times New Roman" w:cs="Times New Roman"/>
          <w:color w:val="000000" w:themeColor="text1"/>
        </w:rPr>
        <w:t>，说明多重共线性问题并不严重，模型设定较为合理。</w:t>
      </w:r>
    </w:p>
    <w:p w14:paraId="55982788" w14:textId="397942CF" w:rsidR="007D79CD" w:rsidRPr="001503A1" w:rsidRDefault="007D79CD" w:rsidP="004275C7">
      <w:pPr>
        <w:ind w:firstLineChars="200" w:firstLine="422"/>
        <w:contextualSpacing/>
        <w:jc w:val="left"/>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w:t>
      </w:r>
      <w:r w:rsidRPr="001503A1">
        <w:rPr>
          <w:rFonts w:ascii="Times New Roman" w:eastAsia="黑体" w:hAnsi="Times New Roman" w:cs="Times New Roman"/>
          <w:b/>
          <w:bCs/>
          <w:color w:val="000000" w:themeColor="text1"/>
          <w:szCs w:val="21"/>
        </w:rPr>
        <w:t>表</w:t>
      </w:r>
      <w:r w:rsidRPr="001503A1">
        <w:rPr>
          <w:rFonts w:ascii="Times New Roman" w:eastAsia="黑体" w:hAnsi="Times New Roman" w:cs="Times New Roman" w:hint="eastAsia"/>
          <w:b/>
          <w:bCs/>
          <w:color w:val="000000" w:themeColor="text1"/>
          <w:szCs w:val="21"/>
        </w:rPr>
        <w:t>1</w:t>
      </w:r>
      <w:r w:rsidRPr="001503A1">
        <w:rPr>
          <w:rFonts w:ascii="Times New Roman" w:eastAsia="黑体" w:hAnsi="Times New Roman" w:cs="Times New Roman"/>
          <w:b/>
          <w:bCs/>
          <w:color w:val="000000" w:themeColor="text1"/>
          <w:szCs w:val="21"/>
        </w:rPr>
        <w:t xml:space="preserve">  </w:t>
      </w:r>
      <w:r w:rsidR="004275C7" w:rsidRPr="001503A1">
        <w:rPr>
          <w:rFonts w:ascii="Times New Roman" w:eastAsia="黑体" w:hAnsi="Times New Roman" w:cs="Times New Roman"/>
          <w:b/>
          <w:bCs/>
          <w:color w:val="000000" w:themeColor="text1"/>
          <w:szCs w:val="21"/>
        </w:rPr>
        <w:t xml:space="preserve">                             </w:t>
      </w:r>
      <w:r w:rsidRPr="001503A1">
        <w:rPr>
          <w:rFonts w:ascii="Times New Roman" w:eastAsia="黑体" w:hAnsi="Times New Roman" w:cs="Times New Roman"/>
          <w:b/>
          <w:bCs/>
          <w:color w:val="000000" w:themeColor="text1"/>
          <w:szCs w:val="21"/>
        </w:rPr>
        <w:t>相关系数检验</w:t>
      </w:r>
    </w:p>
    <w:tbl>
      <w:tblPr>
        <w:tblW w:w="5000" w:type="pct"/>
        <w:jc w:val="center"/>
        <w:tblCellMar>
          <w:left w:w="75" w:type="dxa"/>
          <w:right w:w="75" w:type="dxa"/>
        </w:tblCellMar>
        <w:tblLook w:val="0000" w:firstRow="0" w:lastRow="0" w:firstColumn="0" w:lastColumn="0" w:noHBand="0" w:noVBand="0"/>
      </w:tblPr>
      <w:tblGrid>
        <w:gridCol w:w="1260"/>
        <w:gridCol w:w="1006"/>
        <w:gridCol w:w="1007"/>
        <w:gridCol w:w="1007"/>
        <w:gridCol w:w="1007"/>
        <w:gridCol w:w="1007"/>
        <w:gridCol w:w="1007"/>
        <w:gridCol w:w="1005"/>
      </w:tblGrid>
      <w:tr w:rsidR="001503A1" w:rsidRPr="001503A1" w14:paraId="14ADADC2" w14:textId="77777777" w:rsidTr="00746B28">
        <w:trPr>
          <w:jc w:val="center"/>
        </w:trPr>
        <w:tc>
          <w:tcPr>
            <w:tcW w:w="759" w:type="pct"/>
            <w:tcBorders>
              <w:top w:val="single" w:sz="6" w:space="0" w:color="auto"/>
              <w:left w:val="nil"/>
              <w:bottom w:val="single" w:sz="6" w:space="0" w:color="auto"/>
              <w:right w:val="nil"/>
            </w:tcBorders>
          </w:tcPr>
          <w:p w14:paraId="49317E12" w14:textId="77777777" w:rsidR="007D79CD" w:rsidRPr="001503A1" w:rsidRDefault="007D79CD" w:rsidP="007D79CD">
            <w:pPr>
              <w:autoSpaceDE w:val="0"/>
              <w:autoSpaceDN w:val="0"/>
              <w:contextualSpacing/>
              <w:jc w:val="left"/>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变量</w:t>
            </w:r>
          </w:p>
        </w:tc>
        <w:tc>
          <w:tcPr>
            <w:tcW w:w="606" w:type="pct"/>
            <w:tcBorders>
              <w:top w:val="single" w:sz="6" w:space="0" w:color="auto"/>
              <w:left w:val="nil"/>
              <w:bottom w:val="single" w:sz="6" w:space="0" w:color="auto"/>
              <w:right w:val="nil"/>
            </w:tcBorders>
          </w:tcPr>
          <w:p w14:paraId="0ABE6770"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606" w:type="pct"/>
            <w:tcBorders>
              <w:top w:val="single" w:sz="6" w:space="0" w:color="auto"/>
              <w:left w:val="nil"/>
              <w:bottom w:val="single" w:sz="6" w:space="0" w:color="auto"/>
              <w:right w:val="nil"/>
            </w:tcBorders>
          </w:tcPr>
          <w:p w14:paraId="4592E092"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Transfer</w:t>
            </w:r>
          </w:p>
        </w:tc>
        <w:tc>
          <w:tcPr>
            <w:tcW w:w="606" w:type="pct"/>
            <w:tcBorders>
              <w:top w:val="single" w:sz="6" w:space="0" w:color="auto"/>
              <w:left w:val="nil"/>
              <w:bottom w:val="single" w:sz="6" w:space="0" w:color="auto"/>
              <w:right w:val="nil"/>
            </w:tcBorders>
          </w:tcPr>
          <w:p w14:paraId="2EBE1350"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Asset</w:t>
            </w:r>
          </w:p>
        </w:tc>
        <w:tc>
          <w:tcPr>
            <w:tcW w:w="606" w:type="pct"/>
            <w:tcBorders>
              <w:top w:val="single" w:sz="6" w:space="0" w:color="auto"/>
              <w:left w:val="nil"/>
              <w:bottom w:val="single" w:sz="6" w:space="0" w:color="auto"/>
              <w:right w:val="nil"/>
            </w:tcBorders>
          </w:tcPr>
          <w:p w14:paraId="4CF7A879"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Age</w:t>
            </w:r>
          </w:p>
        </w:tc>
        <w:tc>
          <w:tcPr>
            <w:tcW w:w="606" w:type="pct"/>
            <w:tcBorders>
              <w:top w:val="single" w:sz="6" w:space="0" w:color="auto"/>
              <w:left w:val="nil"/>
              <w:bottom w:val="single" w:sz="6" w:space="0" w:color="auto"/>
              <w:right w:val="nil"/>
            </w:tcBorders>
          </w:tcPr>
          <w:p w14:paraId="5406FD93"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Grow</w:t>
            </w:r>
            <w:r w:rsidRPr="001503A1">
              <w:rPr>
                <w:rFonts w:ascii="Times New Roman" w:eastAsia="宋体" w:hAnsi="Times New Roman" w:cs="Times New Roman" w:hint="eastAsia"/>
                <w:i/>
                <w:iCs/>
                <w:color w:val="000000" w:themeColor="text1"/>
                <w:kern w:val="0"/>
                <w:sz w:val="18"/>
                <w:szCs w:val="18"/>
              </w:rPr>
              <w:t>th</w:t>
            </w:r>
          </w:p>
        </w:tc>
        <w:tc>
          <w:tcPr>
            <w:tcW w:w="606" w:type="pct"/>
            <w:tcBorders>
              <w:top w:val="single" w:sz="6" w:space="0" w:color="auto"/>
              <w:left w:val="nil"/>
              <w:bottom w:val="single" w:sz="6" w:space="0" w:color="auto"/>
              <w:right w:val="nil"/>
            </w:tcBorders>
          </w:tcPr>
          <w:p w14:paraId="2B3AE584"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Cash</w:t>
            </w:r>
          </w:p>
        </w:tc>
        <w:tc>
          <w:tcPr>
            <w:tcW w:w="605" w:type="pct"/>
            <w:tcBorders>
              <w:top w:val="single" w:sz="6" w:space="0" w:color="auto"/>
              <w:left w:val="nil"/>
              <w:bottom w:val="single" w:sz="6" w:space="0" w:color="auto"/>
              <w:right w:val="nil"/>
            </w:tcBorders>
          </w:tcPr>
          <w:p w14:paraId="0D83CF20"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Dual</w:t>
            </w:r>
          </w:p>
        </w:tc>
      </w:tr>
      <w:tr w:rsidR="001503A1" w:rsidRPr="001503A1" w14:paraId="4D7F67CC" w14:textId="77777777" w:rsidTr="00746B28">
        <w:trPr>
          <w:jc w:val="center"/>
        </w:trPr>
        <w:tc>
          <w:tcPr>
            <w:tcW w:w="759" w:type="pct"/>
            <w:tcBorders>
              <w:top w:val="single" w:sz="6" w:space="0" w:color="auto"/>
              <w:left w:val="nil"/>
              <w:right w:val="nil"/>
            </w:tcBorders>
          </w:tcPr>
          <w:p w14:paraId="65EFA89E"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Risk</w:t>
            </w:r>
          </w:p>
        </w:tc>
        <w:tc>
          <w:tcPr>
            <w:tcW w:w="606" w:type="pct"/>
            <w:tcBorders>
              <w:top w:val="single" w:sz="6" w:space="0" w:color="auto"/>
              <w:left w:val="nil"/>
              <w:right w:val="nil"/>
            </w:tcBorders>
          </w:tcPr>
          <w:p w14:paraId="362497A1"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w:t>
            </w:r>
          </w:p>
        </w:tc>
        <w:tc>
          <w:tcPr>
            <w:tcW w:w="606" w:type="pct"/>
            <w:tcBorders>
              <w:top w:val="single" w:sz="6" w:space="0" w:color="auto"/>
              <w:left w:val="nil"/>
              <w:right w:val="nil"/>
            </w:tcBorders>
          </w:tcPr>
          <w:p w14:paraId="34D9DA5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single" w:sz="6" w:space="0" w:color="auto"/>
              <w:left w:val="nil"/>
              <w:right w:val="nil"/>
            </w:tcBorders>
          </w:tcPr>
          <w:p w14:paraId="249A6086"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single" w:sz="6" w:space="0" w:color="auto"/>
              <w:left w:val="nil"/>
              <w:right w:val="nil"/>
            </w:tcBorders>
          </w:tcPr>
          <w:p w14:paraId="5175C680"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single" w:sz="6" w:space="0" w:color="auto"/>
              <w:left w:val="nil"/>
              <w:right w:val="nil"/>
            </w:tcBorders>
          </w:tcPr>
          <w:p w14:paraId="2E4D03D4"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single" w:sz="6" w:space="0" w:color="auto"/>
              <w:left w:val="nil"/>
              <w:right w:val="nil"/>
            </w:tcBorders>
          </w:tcPr>
          <w:p w14:paraId="5B98A1FF"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5" w:type="pct"/>
            <w:tcBorders>
              <w:top w:val="single" w:sz="6" w:space="0" w:color="auto"/>
              <w:left w:val="nil"/>
              <w:right w:val="nil"/>
            </w:tcBorders>
          </w:tcPr>
          <w:p w14:paraId="098BA681"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r>
      <w:tr w:rsidR="001503A1" w:rsidRPr="001503A1" w14:paraId="19993FEE" w14:textId="77777777" w:rsidTr="00746B28">
        <w:trPr>
          <w:jc w:val="center"/>
        </w:trPr>
        <w:tc>
          <w:tcPr>
            <w:tcW w:w="759" w:type="pct"/>
            <w:tcBorders>
              <w:left w:val="nil"/>
              <w:bottom w:val="nil"/>
              <w:right w:val="nil"/>
            </w:tcBorders>
          </w:tcPr>
          <w:p w14:paraId="2BBDDB25"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Transfer</w:t>
            </w:r>
          </w:p>
        </w:tc>
        <w:tc>
          <w:tcPr>
            <w:tcW w:w="606" w:type="pct"/>
            <w:tcBorders>
              <w:top w:val="nil"/>
              <w:left w:val="nil"/>
              <w:bottom w:val="nil"/>
              <w:right w:val="nil"/>
            </w:tcBorders>
          </w:tcPr>
          <w:p w14:paraId="2D8CF2B5"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-0.032***</w:t>
            </w:r>
          </w:p>
        </w:tc>
        <w:tc>
          <w:tcPr>
            <w:tcW w:w="606" w:type="pct"/>
            <w:tcBorders>
              <w:top w:val="nil"/>
              <w:left w:val="nil"/>
              <w:bottom w:val="nil"/>
              <w:right w:val="nil"/>
            </w:tcBorders>
          </w:tcPr>
          <w:p w14:paraId="1347E28C"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w:t>
            </w:r>
          </w:p>
        </w:tc>
        <w:tc>
          <w:tcPr>
            <w:tcW w:w="606" w:type="pct"/>
            <w:tcBorders>
              <w:top w:val="nil"/>
              <w:left w:val="nil"/>
              <w:bottom w:val="nil"/>
              <w:right w:val="nil"/>
            </w:tcBorders>
          </w:tcPr>
          <w:p w14:paraId="47CAD1B3"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nil"/>
              <w:left w:val="nil"/>
              <w:bottom w:val="nil"/>
              <w:right w:val="nil"/>
            </w:tcBorders>
          </w:tcPr>
          <w:p w14:paraId="4ADBACBF"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nil"/>
              <w:left w:val="nil"/>
              <w:bottom w:val="nil"/>
              <w:right w:val="nil"/>
            </w:tcBorders>
          </w:tcPr>
          <w:p w14:paraId="687F0ABA"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nil"/>
              <w:left w:val="nil"/>
              <w:bottom w:val="nil"/>
              <w:right w:val="nil"/>
            </w:tcBorders>
          </w:tcPr>
          <w:p w14:paraId="6CCB7EA0"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5" w:type="pct"/>
            <w:tcBorders>
              <w:top w:val="nil"/>
              <w:left w:val="nil"/>
              <w:bottom w:val="nil"/>
              <w:right w:val="nil"/>
            </w:tcBorders>
          </w:tcPr>
          <w:p w14:paraId="55C5A008"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r>
      <w:tr w:rsidR="001503A1" w:rsidRPr="001503A1" w14:paraId="7EBC0FA4" w14:textId="77777777" w:rsidTr="00746B28">
        <w:trPr>
          <w:jc w:val="center"/>
        </w:trPr>
        <w:tc>
          <w:tcPr>
            <w:tcW w:w="759" w:type="pct"/>
            <w:tcBorders>
              <w:top w:val="nil"/>
              <w:left w:val="nil"/>
              <w:bottom w:val="nil"/>
              <w:right w:val="nil"/>
            </w:tcBorders>
          </w:tcPr>
          <w:p w14:paraId="27364BF4"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Asset</w:t>
            </w:r>
          </w:p>
        </w:tc>
        <w:tc>
          <w:tcPr>
            <w:tcW w:w="606" w:type="pct"/>
            <w:tcBorders>
              <w:top w:val="nil"/>
              <w:left w:val="nil"/>
              <w:bottom w:val="nil"/>
              <w:right w:val="nil"/>
            </w:tcBorders>
          </w:tcPr>
          <w:p w14:paraId="690C95D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-0.206***</w:t>
            </w:r>
          </w:p>
        </w:tc>
        <w:tc>
          <w:tcPr>
            <w:tcW w:w="606" w:type="pct"/>
            <w:tcBorders>
              <w:top w:val="nil"/>
              <w:left w:val="nil"/>
              <w:bottom w:val="nil"/>
              <w:right w:val="nil"/>
            </w:tcBorders>
          </w:tcPr>
          <w:p w14:paraId="22DD873E"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0.113***</w:t>
            </w:r>
          </w:p>
        </w:tc>
        <w:tc>
          <w:tcPr>
            <w:tcW w:w="606" w:type="pct"/>
            <w:tcBorders>
              <w:top w:val="nil"/>
              <w:left w:val="nil"/>
              <w:bottom w:val="nil"/>
              <w:right w:val="nil"/>
            </w:tcBorders>
          </w:tcPr>
          <w:p w14:paraId="279A0E1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w:t>
            </w:r>
          </w:p>
        </w:tc>
        <w:tc>
          <w:tcPr>
            <w:tcW w:w="606" w:type="pct"/>
            <w:tcBorders>
              <w:top w:val="nil"/>
              <w:left w:val="nil"/>
              <w:bottom w:val="nil"/>
              <w:right w:val="nil"/>
            </w:tcBorders>
          </w:tcPr>
          <w:p w14:paraId="5C1B8DE0"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nil"/>
              <w:left w:val="nil"/>
              <w:bottom w:val="nil"/>
              <w:right w:val="nil"/>
            </w:tcBorders>
          </w:tcPr>
          <w:p w14:paraId="281EBE71"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nil"/>
              <w:left w:val="nil"/>
              <w:bottom w:val="nil"/>
              <w:right w:val="nil"/>
            </w:tcBorders>
          </w:tcPr>
          <w:p w14:paraId="3E7CB664"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5" w:type="pct"/>
            <w:tcBorders>
              <w:top w:val="nil"/>
              <w:left w:val="nil"/>
              <w:bottom w:val="nil"/>
              <w:right w:val="nil"/>
            </w:tcBorders>
          </w:tcPr>
          <w:p w14:paraId="516DDCCA"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r>
      <w:tr w:rsidR="001503A1" w:rsidRPr="001503A1" w14:paraId="5C84747B" w14:textId="77777777" w:rsidTr="00746B28">
        <w:trPr>
          <w:jc w:val="center"/>
        </w:trPr>
        <w:tc>
          <w:tcPr>
            <w:tcW w:w="759" w:type="pct"/>
            <w:tcBorders>
              <w:top w:val="nil"/>
              <w:left w:val="nil"/>
              <w:bottom w:val="nil"/>
              <w:right w:val="nil"/>
            </w:tcBorders>
          </w:tcPr>
          <w:p w14:paraId="0FB0F3C0"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Age</w:t>
            </w:r>
          </w:p>
        </w:tc>
        <w:tc>
          <w:tcPr>
            <w:tcW w:w="606" w:type="pct"/>
            <w:tcBorders>
              <w:top w:val="nil"/>
              <w:left w:val="nil"/>
              <w:bottom w:val="nil"/>
              <w:right w:val="nil"/>
            </w:tcBorders>
          </w:tcPr>
          <w:p w14:paraId="1283D941"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0.036***</w:t>
            </w:r>
          </w:p>
        </w:tc>
        <w:tc>
          <w:tcPr>
            <w:tcW w:w="606" w:type="pct"/>
            <w:tcBorders>
              <w:top w:val="nil"/>
              <w:left w:val="nil"/>
              <w:bottom w:val="nil"/>
              <w:right w:val="nil"/>
            </w:tcBorders>
          </w:tcPr>
          <w:p w14:paraId="6732578C"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0.415***</w:t>
            </w:r>
          </w:p>
        </w:tc>
        <w:tc>
          <w:tcPr>
            <w:tcW w:w="606" w:type="pct"/>
            <w:tcBorders>
              <w:top w:val="nil"/>
              <w:left w:val="nil"/>
              <w:bottom w:val="nil"/>
              <w:right w:val="nil"/>
            </w:tcBorders>
          </w:tcPr>
          <w:p w14:paraId="115573E6"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0.031***</w:t>
            </w:r>
          </w:p>
        </w:tc>
        <w:tc>
          <w:tcPr>
            <w:tcW w:w="606" w:type="pct"/>
            <w:tcBorders>
              <w:top w:val="nil"/>
              <w:left w:val="nil"/>
              <w:bottom w:val="nil"/>
              <w:right w:val="nil"/>
            </w:tcBorders>
          </w:tcPr>
          <w:p w14:paraId="164BF076"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w:t>
            </w:r>
          </w:p>
        </w:tc>
        <w:tc>
          <w:tcPr>
            <w:tcW w:w="606" w:type="pct"/>
            <w:tcBorders>
              <w:top w:val="nil"/>
              <w:left w:val="nil"/>
              <w:bottom w:val="nil"/>
              <w:right w:val="nil"/>
            </w:tcBorders>
          </w:tcPr>
          <w:p w14:paraId="7A54914A"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6" w:type="pct"/>
            <w:tcBorders>
              <w:top w:val="nil"/>
              <w:left w:val="nil"/>
              <w:bottom w:val="nil"/>
              <w:right w:val="nil"/>
            </w:tcBorders>
          </w:tcPr>
          <w:p w14:paraId="1956CD74"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5" w:type="pct"/>
            <w:tcBorders>
              <w:top w:val="nil"/>
              <w:left w:val="nil"/>
              <w:bottom w:val="nil"/>
              <w:right w:val="nil"/>
            </w:tcBorders>
          </w:tcPr>
          <w:p w14:paraId="3214A180"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r>
      <w:tr w:rsidR="001503A1" w:rsidRPr="001503A1" w14:paraId="20CD6157" w14:textId="77777777" w:rsidTr="00746B28">
        <w:trPr>
          <w:jc w:val="center"/>
        </w:trPr>
        <w:tc>
          <w:tcPr>
            <w:tcW w:w="759" w:type="pct"/>
            <w:tcBorders>
              <w:top w:val="nil"/>
              <w:left w:val="nil"/>
              <w:bottom w:val="nil"/>
              <w:right w:val="nil"/>
            </w:tcBorders>
          </w:tcPr>
          <w:p w14:paraId="60756960"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Growth</w:t>
            </w:r>
          </w:p>
        </w:tc>
        <w:tc>
          <w:tcPr>
            <w:tcW w:w="606" w:type="pct"/>
            <w:tcBorders>
              <w:top w:val="nil"/>
              <w:left w:val="nil"/>
              <w:bottom w:val="nil"/>
              <w:right w:val="nil"/>
            </w:tcBorders>
          </w:tcPr>
          <w:p w14:paraId="135867C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-0.0150</w:t>
            </w:r>
          </w:p>
        </w:tc>
        <w:tc>
          <w:tcPr>
            <w:tcW w:w="606" w:type="pct"/>
            <w:tcBorders>
              <w:top w:val="nil"/>
              <w:left w:val="nil"/>
              <w:bottom w:val="nil"/>
              <w:right w:val="nil"/>
            </w:tcBorders>
          </w:tcPr>
          <w:p w14:paraId="419250AD"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-0.024**</w:t>
            </w:r>
          </w:p>
        </w:tc>
        <w:tc>
          <w:tcPr>
            <w:tcW w:w="606" w:type="pct"/>
            <w:tcBorders>
              <w:top w:val="nil"/>
              <w:left w:val="nil"/>
              <w:bottom w:val="nil"/>
              <w:right w:val="nil"/>
            </w:tcBorders>
          </w:tcPr>
          <w:p w14:paraId="252DE1B4"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-0.029***</w:t>
            </w:r>
          </w:p>
        </w:tc>
        <w:tc>
          <w:tcPr>
            <w:tcW w:w="606" w:type="pct"/>
            <w:tcBorders>
              <w:top w:val="nil"/>
              <w:left w:val="nil"/>
              <w:bottom w:val="nil"/>
              <w:right w:val="nil"/>
            </w:tcBorders>
          </w:tcPr>
          <w:p w14:paraId="6C387C9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0.036***</w:t>
            </w:r>
          </w:p>
        </w:tc>
        <w:tc>
          <w:tcPr>
            <w:tcW w:w="606" w:type="pct"/>
            <w:tcBorders>
              <w:top w:val="nil"/>
              <w:left w:val="nil"/>
              <w:bottom w:val="nil"/>
              <w:right w:val="nil"/>
            </w:tcBorders>
          </w:tcPr>
          <w:p w14:paraId="4E10DAFD"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w:t>
            </w:r>
          </w:p>
        </w:tc>
        <w:tc>
          <w:tcPr>
            <w:tcW w:w="606" w:type="pct"/>
            <w:tcBorders>
              <w:top w:val="nil"/>
              <w:left w:val="nil"/>
              <w:bottom w:val="nil"/>
              <w:right w:val="nil"/>
            </w:tcBorders>
          </w:tcPr>
          <w:p w14:paraId="77ADFAD7"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c>
          <w:tcPr>
            <w:tcW w:w="605" w:type="pct"/>
            <w:tcBorders>
              <w:top w:val="nil"/>
              <w:left w:val="nil"/>
              <w:bottom w:val="nil"/>
              <w:right w:val="nil"/>
            </w:tcBorders>
          </w:tcPr>
          <w:p w14:paraId="687D0FA0"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r>
      <w:tr w:rsidR="001503A1" w:rsidRPr="001503A1" w14:paraId="187A7073" w14:textId="77777777" w:rsidTr="00746B28">
        <w:trPr>
          <w:jc w:val="center"/>
        </w:trPr>
        <w:tc>
          <w:tcPr>
            <w:tcW w:w="759" w:type="pct"/>
            <w:tcBorders>
              <w:top w:val="nil"/>
              <w:left w:val="nil"/>
              <w:bottom w:val="nil"/>
              <w:right w:val="nil"/>
            </w:tcBorders>
          </w:tcPr>
          <w:p w14:paraId="021C15E2"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Cash</w:t>
            </w:r>
          </w:p>
        </w:tc>
        <w:tc>
          <w:tcPr>
            <w:tcW w:w="606" w:type="pct"/>
            <w:tcBorders>
              <w:top w:val="nil"/>
              <w:left w:val="nil"/>
              <w:bottom w:val="nil"/>
              <w:right w:val="nil"/>
            </w:tcBorders>
          </w:tcPr>
          <w:p w14:paraId="0A803953"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-0.033***</w:t>
            </w:r>
          </w:p>
        </w:tc>
        <w:tc>
          <w:tcPr>
            <w:tcW w:w="606" w:type="pct"/>
            <w:tcBorders>
              <w:top w:val="nil"/>
              <w:left w:val="nil"/>
              <w:bottom w:val="nil"/>
              <w:right w:val="nil"/>
            </w:tcBorders>
          </w:tcPr>
          <w:p w14:paraId="7423DDCC"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0.049***</w:t>
            </w:r>
          </w:p>
        </w:tc>
        <w:tc>
          <w:tcPr>
            <w:tcW w:w="606" w:type="pct"/>
            <w:tcBorders>
              <w:top w:val="nil"/>
              <w:left w:val="nil"/>
              <w:bottom w:val="nil"/>
              <w:right w:val="nil"/>
            </w:tcBorders>
          </w:tcPr>
          <w:p w14:paraId="1F00D83C"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-0.196***</w:t>
            </w:r>
          </w:p>
        </w:tc>
        <w:tc>
          <w:tcPr>
            <w:tcW w:w="606" w:type="pct"/>
            <w:tcBorders>
              <w:top w:val="nil"/>
              <w:left w:val="nil"/>
              <w:bottom w:val="nil"/>
              <w:right w:val="nil"/>
            </w:tcBorders>
          </w:tcPr>
          <w:p w14:paraId="7E74272C"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-0.0060</w:t>
            </w:r>
          </w:p>
        </w:tc>
        <w:tc>
          <w:tcPr>
            <w:tcW w:w="606" w:type="pct"/>
            <w:tcBorders>
              <w:top w:val="nil"/>
              <w:left w:val="nil"/>
              <w:bottom w:val="nil"/>
              <w:right w:val="nil"/>
            </w:tcBorders>
          </w:tcPr>
          <w:p w14:paraId="490FB7B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0.030***</w:t>
            </w:r>
          </w:p>
        </w:tc>
        <w:tc>
          <w:tcPr>
            <w:tcW w:w="606" w:type="pct"/>
            <w:tcBorders>
              <w:top w:val="nil"/>
              <w:left w:val="nil"/>
              <w:bottom w:val="nil"/>
              <w:right w:val="nil"/>
            </w:tcBorders>
          </w:tcPr>
          <w:p w14:paraId="7B080E0B"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w:t>
            </w:r>
          </w:p>
        </w:tc>
        <w:tc>
          <w:tcPr>
            <w:tcW w:w="605" w:type="pct"/>
            <w:tcBorders>
              <w:top w:val="nil"/>
              <w:left w:val="nil"/>
              <w:bottom w:val="nil"/>
              <w:right w:val="nil"/>
            </w:tcBorders>
          </w:tcPr>
          <w:p w14:paraId="7F0FB407"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p>
        </w:tc>
      </w:tr>
      <w:tr w:rsidR="001503A1" w:rsidRPr="001503A1" w14:paraId="28C8519E" w14:textId="77777777" w:rsidTr="00746B28">
        <w:trPr>
          <w:jc w:val="center"/>
        </w:trPr>
        <w:tc>
          <w:tcPr>
            <w:tcW w:w="759" w:type="pct"/>
            <w:tcBorders>
              <w:top w:val="nil"/>
              <w:left w:val="nil"/>
              <w:bottom w:val="nil"/>
              <w:right w:val="nil"/>
            </w:tcBorders>
          </w:tcPr>
          <w:p w14:paraId="2C38A1A7"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Dual</w:t>
            </w:r>
          </w:p>
        </w:tc>
        <w:tc>
          <w:tcPr>
            <w:tcW w:w="606" w:type="pct"/>
            <w:tcBorders>
              <w:top w:val="nil"/>
              <w:left w:val="nil"/>
              <w:bottom w:val="nil"/>
              <w:right w:val="nil"/>
            </w:tcBorders>
          </w:tcPr>
          <w:p w14:paraId="139E4E26"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-0.0070</w:t>
            </w:r>
          </w:p>
        </w:tc>
        <w:tc>
          <w:tcPr>
            <w:tcW w:w="606" w:type="pct"/>
            <w:tcBorders>
              <w:top w:val="nil"/>
              <w:left w:val="nil"/>
              <w:bottom w:val="nil"/>
              <w:right w:val="nil"/>
            </w:tcBorders>
          </w:tcPr>
          <w:p w14:paraId="3B28D06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0.0060</w:t>
            </w:r>
          </w:p>
        </w:tc>
        <w:tc>
          <w:tcPr>
            <w:tcW w:w="606" w:type="pct"/>
            <w:tcBorders>
              <w:top w:val="nil"/>
              <w:left w:val="nil"/>
              <w:bottom w:val="nil"/>
              <w:right w:val="nil"/>
            </w:tcBorders>
          </w:tcPr>
          <w:p w14:paraId="27D0265C"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-0.053***</w:t>
            </w:r>
          </w:p>
        </w:tc>
        <w:tc>
          <w:tcPr>
            <w:tcW w:w="606" w:type="pct"/>
            <w:tcBorders>
              <w:top w:val="nil"/>
              <w:left w:val="nil"/>
              <w:bottom w:val="nil"/>
              <w:right w:val="nil"/>
            </w:tcBorders>
          </w:tcPr>
          <w:p w14:paraId="775C6592"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-0.0060</w:t>
            </w:r>
          </w:p>
        </w:tc>
        <w:tc>
          <w:tcPr>
            <w:tcW w:w="606" w:type="pct"/>
            <w:tcBorders>
              <w:top w:val="nil"/>
              <w:left w:val="nil"/>
              <w:bottom w:val="nil"/>
              <w:right w:val="nil"/>
            </w:tcBorders>
          </w:tcPr>
          <w:p w14:paraId="2EB17D30"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0.0150</w:t>
            </w:r>
          </w:p>
        </w:tc>
        <w:tc>
          <w:tcPr>
            <w:tcW w:w="606" w:type="pct"/>
            <w:tcBorders>
              <w:top w:val="nil"/>
              <w:left w:val="nil"/>
              <w:bottom w:val="nil"/>
              <w:right w:val="nil"/>
            </w:tcBorders>
          </w:tcPr>
          <w:p w14:paraId="6A1C6AAF"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0.0080</w:t>
            </w:r>
          </w:p>
        </w:tc>
        <w:tc>
          <w:tcPr>
            <w:tcW w:w="605" w:type="pct"/>
            <w:tcBorders>
              <w:top w:val="nil"/>
              <w:left w:val="nil"/>
              <w:bottom w:val="nil"/>
              <w:right w:val="nil"/>
            </w:tcBorders>
          </w:tcPr>
          <w:p w14:paraId="5F35AA04"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w:t>
            </w:r>
          </w:p>
        </w:tc>
      </w:tr>
      <w:tr w:rsidR="001503A1" w:rsidRPr="001503A1" w14:paraId="5F89E501" w14:textId="77777777" w:rsidTr="00746B28">
        <w:trPr>
          <w:jc w:val="center"/>
        </w:trPr>
        <w:tc>
          <w:tcPr>
            <w:tcW w:w="759" w:type="pct"/>
            <w:tcBorders>
              <w:top w:val="nil"/>
              <w:left w:val="nil"/>
              <w:bottom w:val="nil"/>
              <w:right w:val="nil"/>
            </w:tcBorders>
          </w:tcPr>
          <w:p w14:paraId="27EFDF09"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Balance</w:t>
            </w:r>
          </w:p>
        </w:tc>
        <w:tc>
          <w:tcPr>
            <w:tcW w:w="606" w:type="pct"/>
            <w:tcBorders>
              <w:top w:val="nil"/>
              <w:left w:val="nil"/>
              <w:bottom w:val="nil"/>
              <w:right w:val="nil"/>
            </w:tcBorders>
          </w:tcPr>
          <w:p w14:paraId="384C1E6F"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0.065***</w:t>
            </w:r>
          </w:p>
        </w:tc>
        <w:tc>
          <w:tcPr>
            <w:tcW w:w="606" w:type="pct"/>
            <w:tcBorders>
              <w:top w:val="nil"/>
              <w:left w:val="nil"/>
              <w:bottom w:val="nil"/>
              <w:right w:val="nil"/>
            </w:tcBorders>
          </w:tcPr>
          <w:p w14:paraId="5B384AB6"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0.092***</w:t>
            </w:r>
          </w:p>
        </w:tc>
        <w:tc>
          <w:tcPr>
            <w:tcW w:w="606" w:type="pct"/>
            <w:tcBorders>
              <w:top w:val="nil"/>
              <w:left w:val="nil"/>
              <w:bottom w:val="nil"/>
              <w:right w:val="nil"/>
            </w:tcBorders>
          </w:tcPr>
          <w:p w14:paraId="1996FF6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-0.0060</w:t>
            </w:r>
          </w:p>
        </w:tc>
        <w:tc>
          <w:tcPr>
            <w:tcW w:w="606" w:type="pct"/>
            <w:tcBorders>
              <w:top w:val="nil"/>
              <w:left w:val="nil"/>
              <w:bottom w:val="nil"/>
              <w:right w:val="nil"/>
            </w:tcBorders>
          </w:tcPr>
          <w:p w14:paraId="50D12A12"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0.084***</w:t>
            </w:r>
          </w:p>
        </w:tc>
        <w:tc>
          <w:tcPr>
            <w:tcW w:w="606" w:type="pct"/>
            <w:tcBorders>
              <w:top w:val="nil"/>
              <w:left w:val="nil"/>
              <w:bottom w:val="nil"/>
              <w:right w:val="nil"/>
            </w:tcBorders>
          </w:tcPr>
          <w:p w14:paraId="0347E6F5"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-0.026***</w:t>
            </w:r>
          </w:p>
        </w:tc>
        <w:tc>
          <w:tcPr>
            <w:tcW w:w="606" w:type="pct"/>
            <w:tcBorders>
              <w:top w:val="nil"/>
              <w:left w:val="nil"/>
              <w:bottom w:val="nil"/>
              <w:right w:val="nil"/>
            </w:tcBorders>
          </w:tcPr>
          <w:p w14:paraId="7874067D"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-0.018*</w:t>
            </w:r>
          </w:p>
        </w:tc>
        <w:tc>
          <w:tcPr>
            <w:tcW w:w="605" w:type="pct"/>
            <w:tcBorders>
              <w:top w:val="nil"/>
              <w:left w:val="nil"/>
              <w:bottom w:val="nil"/>
              <w:right w:val="nil"/>
            </w:tcBorders>
          </w:tcPr>
          <w:p w14:paraId="1629E02D"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0.020**</w:t>
            </w:r>
          </w:p>
        </w:tc>
      </w:tr>
      <w:tr w:rsidR="001503A1" w:rsidRPr="001503A1" w14:paraId="1C5D319A" w14:textId="77777777" w:rsidTr="00746B28">
        <w:trPr>
          <w:jc w:val="center"/>
        </w:trPr>
        <w:tc>
          <w:tcPr>
            <w:tcW w:w="759" w:type="pct"/>
            <w:tcBorders>
              <w:top w:val="nil"/>
              <w:left w:val="nil"/>
              <w:bottom w:val="nil"/>
              <w:right w:val="nil"/>
            </w:tcBorders>
          </w:tcPr>
          <w:p w14:paraId="48233C37"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Top1</w:t>
            </w:r>
          </w:p>
        </w:tc>
        <w:tc>
          <w:tcPr>
            <w:tcW w:w="606" w:type="pct"/>
            <w:tcBorders>
              <w:top w:val="nil"/>
              <w:left w:val="nil"/>
              <w:bottom w:val="nil"/>
              <w:right w:val="nil"/>
            </w:tcBorders>
          </w:tcPr>
          <w:p w14:paraId="0AC9F68E"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-0.125***</w:t>
            </w:r>
          </w:p>
        </w:tc>
        <w:tc>
          <w:tcPr>
            <w:tcW w:w="606" w:type="pct"/>
            <w:tcBorders>
              <w:top w:val="nil"/>
              <w:left w:val="nil"/>
              <w:bottom w:val="nil"/>
              <w:right w:val="nil"/>
            </w:tcBorders>
          </w:tcPr>
          <w:p w14:paraId="010460A2"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-0.053***</w:t>
            </w:r>
          </w:p>
        </w:tc>
        <w:tc>
          <w:tcPr>
            <w:tcW w:w="606" w:type="pct"/>
            <w:tcBorders>
              <w:top w:val="nil"/>
              <w:left w:val="nil"/>
              <w:bottom w:val="nil"/>
              <w:right w:val="nil"/>
            </w:tcBorders>
          </w:tcPr>
          <w:p w14:paraId="1FFBDF6D"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0.274***</w:t>
            </w:r>
          </w:p>
        </w:tc>
        <w:tc>
          <w:tcPr>
            <w:tcW w:w="606" w:type="pct"/>
            <w:tcBorders>
              <w:top w:val="nil"/>
              <w:left w:val="nil"/>
              <w:bottom w:val="nil"/>
              <w:right w:val="nil"/>
            </w:tcBorders>
          </w:tcPr>
          <w:p w14:paraId="1CB71166"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-0.203***</w:t>
            </w:r>
          </w:p>
        </w:tc>
        <w:tc>
          <w:tcPr>
            <w:tcW w:w="606" w:type="pct"/>
            <w:tcBorders>
              <w:top w:val="nil"/>
              <w:left w:val="nil"/>
              <w:bottom w:val="nil"/>
              <w:right w:val="nil"/>
            </w:tcBorders>
          </w:tcPr>
          <w:p w14:paraId="362328E5"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0.0040</w:t>
            </w:r>
          </w:p>
        </w:tc>
        <w:tc>
          <w:tcPr>
            <w:tcW w:w="606" w:type="pct"/>
            <w:tcBorders>
              <w:top w:val="nil"/>
              <w:left w:val="nil"/>
              <w:bottom w:val="nil"/>
              <w:right w:val="nil"/>
            </w:tcBorders>
          </w:tcPr>
          <w:p w14:paraId="7DE4A92D"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0.024**</w:t>
            </w:r>
          </w:p>
        </w:tc>
        <w:tc>
          <w:tcPr>
            <w:tcW w:w="605" w:type="pct"/>
            <w:tcBorders>
              <w:top w:val="nil"/>
              <w:left w:val="nil"/>
              <w:bottom w:val="nil"/>
              <w:right w:val="nil"/>
            </w:tcBorders>
          </w:tcPr>
          <w:p w14:paraId="483B0C8C"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-0.072***</w:t>
            </w:r>
          </w:p>
        </w:tc>
      </w:tr>
      <w:tr w:rsidR="001503A1" w:rsidRPr="001503A1" w14:paraId="057FC600" w14:textId="77777777" w:rsidTr="00746B28">
        <w:trPr>
          <w:jc w:val="center"/>
        </w:trPr>
        <w:tc>
          <w:tcPr>
            <w:tcW w:w="759" w:type="pct"/>
            <w:tcBorders>
              <w:top w:val="nil"/>
              <w:left w:val="nil"/>
              <w:bottom w:val="nil"/>
              <w:right w:val="nil"/>
            </w:tcBorders>
          </w:tcPr>
          <w:p w14:paraId="3E449326"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hint="eastAsia"/>
                <w:i/>
                <w:iCs/>
                <w:color w:val="000000" w:themeColor="text1"/>
                <w:kern w:val="0"/>
                <w:sz w:val="18"/>
                <w:szCs w:val="18"/>
              </w:rPr>
              <w:t>S</w:t>
            </w:r>
            <w:r w:rsidRPr="001503A1">
              <w:rPr>
                <w:rFonts w:ascii="Times New Roman" w:eastAsia="楷体" w:hAnsi="Times New Roman" w:cs="Times New Roman"/>
                <w:i/>
                <w:iCs/>
                <w:color w:val="000000" w:themeColor="text1"/>
                <w:kern w:val="0"/>
                <w:sz w:val="18"/>
                <w:szCs w:val="18"/>
              </w:rPr>
              <w:t>alary</w:t>
            </w:r>
          </w:p>
        </w:tc>
        <w:tc>
          <w:tcPr>
            <w:tcW w:w="606" w:type="pct"/>
            <w:tcBorders>
              <w:top w:val="nil"/>
              <w:left w:val="nil"/>
              <w:bottom w:val="nil"/>
              <w:right w:val="nil"/>
            </w:tcBorders>
          </w:tcPr>
          <w:p w14:paraId="67CDE71A"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-0.151***</w:t>
            </w:r>
          </w:p>
        </w:tc>
        <w:tc>
          <w:tcPr>
            <w:tcW w:w="606" w:type="pct"/>
            <w:tcBorders>
              <w:top w:val="nil"/>
              <w:left w:val="nil"/>
              <w:bottom w:val="nil"/>
              <w:right w:val="nil"/>
            </w:tcBorders>
          </w:tcPr>
          <w:p w14:paraId="6127C987"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0.326***</w:t>
            </w:r>
          </w:p>
        </w:tc>
        <w:tc>
          <w:tcPr>
            <w:tcW w:w="606" w:type="pct"/>
            <w:tcBorders>
              <w:top w:val="nil"/>
              <w:left w:val="nil"/>
              <w:bottom w:val="nil"/>
              <w:right w:val="nil"/>
            </w:tcBorders>
          </w:tcPr>
          <w:p w14:paraId="4E6B2E43"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0.421***</w:t>
            </w:r>
          </w:p>
        </w:tc>
        <w:tc>
          <w:tcPr>
            <w:tcW w:w="606" w:type="pct"/>
            <w:tcBorders>
              <w:top w:val="nil"/>
              <w:left w:val="nil"/>
              <w:bottom w:val="nil"/>
              <w:right w:val="nil"/>
            </w:tcBorders>
          </w:tcPr>
          <w:p w14:paraId="00DAA19A"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0.205***</w:t>
            </w:r>
          </w:p>
        </w:tc>
        <w:tc>
          <w:tcPr>
            <w:tcW w:w="606" w:type="pct"/>
            <w:tcBorders>
              <w:top w:val="nil"/>
              <w:left w:val="nil"/>
              <w:bottom w:val="nil"/>
              <w:right w:val="nil"/>
            </w:tcBorders>
          </w:tcPr>
          <w:p w14:paraId="5E763B94"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-0.0130</w:t>
            </w:r>
          </w:p>
        </w:tc>
        <w:tc>
          <w:tcPr>
            <w:tcW w:w="606" w:type="pct"/>
            <w:tcBorders>
              <w:top w:val="nil"/>
              <w:left w:val="nil"/>
              <w:bottom w:val="nil"/>
              <w:right w:val="nil"/>
            </w:tcBorders>
          </w:tcPr>
          <w:p w14:paraId="78D8842A"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0.088***</w:t>
            </w:r>
          </w:p>
        </w:tc>
        <w:tc>
          <w:tcPr>
            <w:tcW w:w="605" w:type="pct"/>
            <w:tcBorders>
              <w:top w:val="nil"/>
              <w:left w:val="nil"/>
              <w:bottom w:val="nil"/>
              <w:right w:val="nil"/>
            </w:tcBorders>
          </w:tcPr>
          <w:p w14:paraId="25533E0A"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0.0120</w:t>
            </w:r>
          </w:p>
        </w:tc>
      </w:tr>
      <w:tr w:rsidR="001503A1" w:rsidRPr="001503A1" w14:paraId="5045B91E" w14:textId="77777777" w:rsidTr="00746B28">
        <w:trPr>
          <w:jc w:val="center"/>
        </w:trPr>
        <w:tc>
          <w:tcPr>
            <w:tcW w:w="759" w:type="pct"/>
            <w:tcBorders>
              <w:top w:val="nil"/>
              <w:left w:val="nil"/>
              <w:bottom w:val="nil"/>
              <w:right w:val="nil"/>
            </w:tcBorders>
          </w:tcPr>
          <w:p w14:paraId="11DBA29A"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Inst</w:t>
            </w:r>
          </w:p>
        </w:tc>
        <w:tc>
          <w:tcPr>
            <w:tcW w:w="606" w:type="pct"/>
            <w:tcBorders>
              <w:top w:val="nil"/>
              <w:left w:val="nil"/>
              <w:bottom w:val="nil"/>
              <w:right w:val="nil"/>
            </w:tcBorders>
          </w:tcPr>
          <w:p w14:paraId="31F9B50E"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-0.179***</w:t>
            </w:r>
          </w:p>
        </w:tc>
        <w:tc>
          <w:tcPr>
            <w:tcW w:w="606" w:type="pct"/>
            <w:tcBorders>
              <w:top w:val="nil"/>
              <w:left w:val="nil"/>
              <w:bottom w:val="nil"/>
              <w:right w:val="nil"/>
            </w:tcBorders>
          </w:tcPr>
          <w:p w14:paraId="53A39C06"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-0.025***</w:t>
            </w:r>
          </w:p>
        </w:tc>
        <w:tc>
          <w:tcPr>
            <w:tcW w:w="606" w:type="pct"/>
            <w:tcBorders>
              <w:top w:val="nil"/>
              <w:left w:val="nil"/>
              <w:bottom w:val="nil"/>
              <w:right w:val="nil"/>
            </w:tcBorders>
          </w:tcPr>
          <w:p w14:paraId="46A56606"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0.463***</w:t>
            </w:r>
          </w:p>
        </w:tc>
        <w:tc>
          <w:tcPr>
            <w:tcW w:w="606" w:type="pct"/>
            <w:tcBorders>
              <w:top w:val="nil"/>
              <w:left w:val="nil"/>
              <w:bottom w:val="nil"/>
              <w:right w:val="nil"/>
            </w:tcBorders>
          </w:tcPr>
          <w:p w14:paraId="5247D7D5"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-0.187***</w:t>
            </w:r>
          </w:p>
        </w:tc>
        <w:tc>
          <w:tcPr>
            <w:tcW w:w="606" w:type="pct"/>
            <w:tcBorders>
              <w:top w:val="nil"/>
              <w:left w:val="nil"/>
              <w:bottom w:val="nil"/>
              <w:right w:val="nil"/>
            </w:tcBorders>
          </w:tcPr>
          <w:p w14:paraId="292FF68C"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-0.036***</w:t>
            </w:r>
          </w:p>
        </w:tc>
        <w:tc>
          <w:tcPr>
            <w:tcW w:w="606" w:type="pct"/>
            <w:tcBorders>
              <w:top w:val="nil"/>
              <w:left w:val="nil"/>
              <w:bottom w:val="nil"/>
              <w:right w:val="nil"/>
            </w:tcBorders>
          </w:tcPr>
          <w:p w14:paraId="30122F7A"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0.048***</w:t>
            </w:r>
          </w:p>
        </w:tc>
        <w:tc>
          <w:tcPr>
            <w:tcW w:w="605" w:type="pct"/>
            <w:tcBorders>
              <w:top w:val="nil"/>
              <w:left w:val="nil"/>
              <w:bottom w:val="nil"/>
              <w:right w:val="nil"/>
            </w:tcBorders>
          </w:tcPr>
          <w:p w14:paraId="44B43443"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-0.076***</w:t>
            </w:r>
          </w:p>
        </w:tc>
      </w:tr>
      <w:tr w:rsidR="001503A1" w:rsidRPr="001503A1" w14:paraId="3280D685" w14:textId="77777777" w:rsidTr="00746B28">
        <w:trPr>
          <w:jc w:val="center"/>
        </w:trPr>
        <w:tc>
          <w:tcPr>
            <w:tcW w:w="759" w:type="pct"/>
            <w:tcBorders>
              <w:top w:val="nil"/>
              <w:left w:val="nil"/>
              <w:bottom w:val="nil"/>
              <w:right w:val="nil"/>
            </w:tcBorders>
          </w:tcPr>
          <w:p w14:paraId="1DDB9861" w14:textId="77777777" w:rsidR="007D79CD" w:rsidRPr="001503A1" w:rsidRDefault="007D79CD" w:rsidP="007D79CD">
            <w:pPr>
              <w:autoSpaceDE w:val="0"/>
              <w:autoSpaceDN w:val="0"/>
              <w:contextualSpacing/>
              <w:jc w:val="left"/>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hint="eastAsia"/>
                <w:i/>
                <w:iCs/>
                <w:color w:val="000000" w:themeColor="text1"/>
                <w:kern w:val="0"/>
                <w:sz w:val="18"/>
                <w:szCs w:val="18"/>
              </w:rPr>
              <w:t>FinBack</w:t>
            </w:r>
          </w:p>
        </w:tc>
        <w:tc>
          <w:tcPr>
            <w:tcW w:w="606" w:type="pct"/>
            <w:tcBorders>
              <w:top w:val="nil"/>
              <w:left w:val="nil"/>
              <w:bottom w:val="nil"/>
              <w:right w:val="nil"/>
            </w:tcBorders>
          </w:tcPr>
          <w:p w14:paraId="0C718AF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-0.022**</w:t>
            </w:r>
          </w:p>
        </w:tc>
        <w:tc>
          <w:tcPr>
            <w:tcW w:w="606" w:type="pct"/>
            <w:tcBorders>
              <w:top w:val="nil"/>
              <w:left w:val="nil"/>
              <w:bottom w:val="nil"/>
              <w:right w:val="nil"/>
            </w:tcBorders>
          </w:tcPr>
          <w:p w14:paraId="7AED1BBD"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-0.156***</w:t>
            </w:r>
          </w:p>
        </w:tc>
        <w:tc>
          <w:tcPr>
            <w:tcW w:w="606" w:type="pct"/>
            <w:tcBorders>
              <w:top w:val="nil"/>
              <w:left w:val="nil"/>
              <w:bottom w:val="nil"/>
              <w:right w:val="nil"/>
            </w:tcBorders>
          </w:tcPr>
          <w:p w14:paraId="754E2515"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0.081***</w:t>
            </w:r>
          </w:p>
        </w:tc>
        <w:tc>
          <w:tcPr>
            <w:tcW w:w="606" w:type="pct"/>
            <w:tcBorders>
              <w:top w:val="nil"/>
              <w:left w:val="nil"/>
              <w:bottom w:val="nil"/>
              <w:right w:val="nil"/>
            </w:tcBorders>
          </w:tcPr>
          <w:p w14:paraId="51F1878C"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-0.078***</w:t>
            </w:r>
          </w:p>
        </w:tc>
        <w:tc>
          <w:tcPr>
            <w:tcW w:w="606" w:type="pct"/>
            <w:tcBorders>
              <w:top w:val="nil"/>
              <w:left w:val="nil"/>
              <w:bottom w:val="nil"/>
              <w:right w:val="nil"/>
            </w:tcBorders>
          </w:tcPr>
          <w:p w14:paraId="39E9D582"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0.032***</w:t>
            </w:r>
          </w:p>
        </w:tc>
        <w:tc>
          <w:tcPr>
            <w:tcW w:w="606" w:type="pct"/>
            <w:tcBorders>
              <w:top w:val="nil"/>
              <w:left w:val="nil"/>
              <w:bottom w:val="nil"/>
              <w:right w:val="nil"/>
            </w:tcBorders>
          </w:tcPr>
          <w:p w14:paraId="5AB0B94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-0.029***</w:t>
            </w:r>
          </w:p>
        </w:tc>
        <w:tc>
          <w:tcPr>
            <w:tcW w:w="605" w:type="pct"/>
            <w:tcBorders>
              <w:top w:val="nil"/>
              <w:left w:val="nil"/>
              <w:bottom w:val="nil"/>
              <w:right w:val="nil"/>
            </w:tcBorders>
          </w:tcPr>
          <w:p w14:paraId="48C11649" w14:textId="77777777" w:rsidR="007D79CD" w:rsidRPr="001503A1" w:rsidRDefault="007D79CD" w:rsidP="007D79CD">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-0.0130</w:t>
            </w:r>
          </w:p>
        </w:tc>
      </w:tr>
      <w:tr w:rsidR="001503A1" w:rsidRPr="001503A1" w14:paraId="2430D675" w14:textId="77777777" w:rsidTr="00746B28">
        <w:trPr>
          <w:jc w:val="center"/>
        </w:trPr>
        <w:tc>
          <w:tcPr>
            <w:tcW w:w="759" w:type="pct"/>
            <w:tcBorders>
              <w:top w:val="single" w:sz="4" w:space="0" w:color="auto"/>
              <w:left w:val="nil"/>
              <w:bottom w:val="single" w:sz="4" w:space="0" w:color="auto"/>
              <w:right w:val="nil"/>
            </w:tcBorders>
          </w:tcPr>
          <w:p w14:paraId="13B28AA7" w14:textId="77777777" w:rsidR="007D79CD" w:rsidRPr="001503A1" w:rsidRDefault="007D79CD" w:rsidP="007D79CD">
            <w:pPr>
              <w:autoSpaceDE w:val="0"/>
              <w:autoSpaceDN w:val="0"/>
              <w:contextualSpacing/>
              <w:jc w:val="left"/>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变量</w:t>
            </w:r>
          </w:p>
        </w:tc>
        <w:tc>
          <w:tcPr>
            <w:tcW w:w="606" w:type="pct"/>
            <w:tcBorders>
              <w:top w:val="single" w:sz="4" w:space="0" w:color="auto"/>
              <w:left w:val="nil"/>
              <w:bottom w:val="single" w:sz="4" w:space="0" w:color="auto"/>
              <w:right w:val="nil"/>
            </w:tcBorders>
          </w:tcPr>
          <w:p w14:paraId="437DF672"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Balance</w:t>
            </w:r>
          </w:p>
        </w:tc>
        <w:tc>
          <w:tcPr>
            <w:tcW w:w="606" w:type="pct"/>
            <w:tcBorders>
              <w:top w:val="single" w:sz="4" w:space="0" w:color="auto"/>
              <w:left w:val="nil"/>
              <w:bottom w:val="single" w:sz="4" w:space="0" w:color="auto"/>
              <w:right w:val="nil"/>
            </w:tcBorders>
          </w:tcPr>
          <w:p w14:paraId="52643BB8"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Top1</w:t>
            </w:r>
          </w:p>
        </w:tc>
        <w:tc>
          <w:tcPr>
            <w:tcW w:w="606" w:type="pct"/>
            <w:tcBorders>
              <w:top w:val="single" w:sz="4" w:space="0" w:color="auto"/>
              <w:left w:val="nil"/>
              <w:bottom w:val="single" w:sz="4" w:space="0" w:color="auto"/>
              <w:right w:val="nil"/>
            </w:tcBorders>
          </w:tcPr>
          <w:p w14:paraId="6A53E68C"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hint="eastAsia"/>
                <w:i/>
                <w:iCs/>
                <w:color w:val="000000" w:themeColor="text1"/>
                <w:kern w:val="0"/>
                <w:sz w:val="18"/>
                <w:szCs w:val="18"/>
              </w:rPr>
              <w:t>S</w:t>
            </w:r>
            <w:r w:rsidRPr="001503A1">
              <w:rPr>
                <w:rFonts w:ascii="Times New Roman" w:eastAsia="宋体" w:hAnsi="Times New Roman" w:cs="Times New Roman"/>
                <w:i/>
                <w:iCs/>
                <w:color w:val="000000" w:themeColor="text1"/>
                <w:kern w:val="0"/>
                <w:sz w:val="18"/>
                <w:szCs w:val="18"/>
              </w:rPr>
              <w:t>alary</w:t>
            </w:r>
          </w:p>
        </w:tc>
        <w:tc>
          <w:tcPr>
            <w:tcW w:w="606" w:type="pct"/>
            <w:tcBorders>
              <w:top w:val="single" w:sz="4" w:space="0" w:color="auto"/>
              <w:left w:val="nil"/>
              <w:bottom w:val="single" w:sz="4" w:space="0" w:color="auto"/>
              <w:right w:val="nil"/>
            </w:tcBorders>
          </w:tcPr>
          <w:p w14:paraId="2FC0677F"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Inst</w:t>
            </w:r>
          </w:p>
        </w:tc>
        <w:tc>
          <w:tcPr>
            <w:tcW w:w="606" w:type="pct"/>
            <w:tcBorders>
              <w:top w:val="single" w:sz="4" w:space="0" w:color="auto"/>
              <w:left w:val="nil"/>
              <w:bottom w:val="single" w:sz="4" w:space="0" w:color="auto"/>
              <w:right w:val="nil"/>
            </w:tcBorders>
          </w:tcPr>
          <w:p w14:paraId="034F366D"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hint="eastAsia"/>
                <w:i/>
                <w:iCs/>
                <w:color w:val="000000" w:themeColor="text1"/>
                <w:kern w:val="0"/>
                <w:sz w:val="18"/>
                <w:szCs w:val="18"/>
              </w:rPr>
              <w:t>FinBack</w:t>
            </w:r>
          </w:p>
        </w:tc>
        <w:tc>
          <w:tcPr>
            <w:tcW w:w="606" w:type="pct"/>
            <w:tcBorders>
              <w:top w:val="single" w:sz="4" w:space="0" w:color="auto"/>
              <w:left w:val="nil"/>
              <w:bottom w:val="single" w:sz="4" w:space="0" w:color="auto"/>
              <w:right w:val="nil"/>
            </w:tcBorders>
          </w:tcPr>
          <w:p w14:paraId="10E7AB6C" w14:textId="77777777" w:rsidR="007D79CD" w:rsidRPr="001503A1" w:rsidRDefault="007D79CD" w:rsidP="007D79CD">
            <w:pPr>
              <w:autoSpaceDE w:val="0"/>
              <w:autoSpaceDN w:val="0"/>
              <w:contextualSpacing/>
              <w:jc w:val="center"/>
              <w:rPr>
                <w:rFonts w:ascii="Times New Roman" w:eastAsia="宋体" w:hAnsi="Times New Roman" w:cs="Times New Roman"/>
                <w:i/>
                <w:iCs/>
                <w:color w:val="000000" w:themeColor="text1"/>
                <w:kern w:val="0"/>
                <w:sz w:val="18"/>
                <w:szCs w:val="18"/>
              </w:rPr>
            </w:pPr>
          </w:p>
        </w:tc>
        <w:tc>
          <w:tcPr>
            <w:tcW w:w="605" w:type="pct"/>
            <w:tcBorders>
              <w:top w:val="single" w:sz="4" w:space="0" w:color="auto"/>
              <w:left w:val="nil"/>
              <w:bottom w:val="single" w:sz="4" w:space="0" w:color="auto"/>
              <w:right w:val="nil"/>
            </w:tcBorders>
          </w:tcPr>
          <w:p w14:paraId="22A80E14" w14:textId="77777777" w:rsidR="007D79CD" w:rsidRPr="001503A1" w:rsidRDefault="007D79CD" w:rsidP="007D79CD">
            <w:pPr>
              <w:autoSpaceDE w:val="0"/>
              <w:autoSpaceDN w:val="0"/>
              <w:contextualSpacing/>
              <w:jc w:val="center"/>
              <w:rPr>
                <w:rFonts w:ascii="Times New Roman" w:eastAsia="宋体" w:hAnsi="Times New Roman" w:cs="Times New Roman"/>
                <w:color w:val="000000" w:themeColor="text1"/>
                <w:kern w:val="0"/>
                <w:sz w:val="18"/>
                <w:szCs w:val="18"/>
              </w:rPr>
            </w:pPr>
          </w:p>
        </w:tc>
      </w:tr>
      <w:tr w:rsidR="001503A1" w:rsidRPr="001503A1" w14:paraId="55EB06E7" w14:textId="77777777" w:rsidTr="00746B28">
        <w:trPr>
          <w:jc w:val="center"/>
        </w:trPr>
        <w:tc>
          <w:tcPr>
            <w:tcW w:w="759" w:type="pct"/>
            <w:tcBorders>
              <w:top w:val="single" w:sz="4" w:space="0" w:color="auto"/>
              <w:left w:val="nil"/>
              <w:bottom w:val="nil"/>
              <w:right w:val="nil"/>
            </w:tcBorders>
          </w:tcPr>
          <w:p w14:paraId="009FFB08" w14:textId="77777777" w:rsidR="007D79CD" w:rsidRPr="001503A1" w:rsidRDefault="007D79CD" w:rsidP="007D79CD">
            <w:pPr>
              <w:autoSpaceDE w:val="0"/>
              <w:autoSpaceDN w:val="0"/>
              <w:contextualSpacing/>
              <w:jc w:val="left"/>
              <w:rPr>
                <w:rFonts w:ascii="Times New Roman" w:eastAsia="华文仿宋" w:hAnsi="Times New Roman" w:cs="Times New Roman"/>
                <w:i/>
                <w:iCs/>
                <w:color w:val="000000" w:themeColor="text1"/>
                <w:kern w:val="0"/>
                <w:sz w:val="18"/>
                <w:szCs w:val="18"/>
              </w:rPr>
            </w:pPr>
            <w:r w:rsidRPr="001503A1">
              <w:rPr>
                <w:rFonts w:ascii="Times New Roman" w:eastAsia="华文仿宋" w:hAnsi="Times New Roman" w:cs="Times New Roman"/>
                <w:i/>
                <w:iCs/>
                <w:color w:val="000000" w:themeColor="text1"/>
                <w:kern w:val="0"/>
                <w:sz w:val="18"/>
                <w:szCs w:val="18"/>
              </w:rPr>
              <w:t>Balance</w:t>
            </w:r>
          </w:p>
        </w:tc>
        <w:tc>
          <w:tcPr>
            <w:tcW w:w="606" w:type="pct"/>
            <w:tcBorders>
              <w:top w:val="nil"/>
              <w:left w:val="nil"/>
              <w:bottom w:val="nil"/>
              <w:right w:val="nil"/>
            </w:tcBorders>
          </w:tcPr>
          <w:p w14:paraId="146E220C"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1</w:t>
            </w:r>
          </w:p>
        </w:tc>
        <w:tc>
          <w:tcPr>
            <w:tcW w:w="606" w:type="pct"/>
            <w:tcBorders>
              <w:top w:val="nil"/>
              <w:left w:val="nil"/>
              <w:bottom w:val="nil"/>
              <w:right w:val="nil"/>
            </w:tcBorders>
          </w:tcPr>
          <w:p w14:paraId="601CEC6B"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nil"/>
              <w:left w:val="nil"/>
              <w:bottom w:val="nil"/>
              <w:right w:val="nil"/>
            </w:tcBorders>
          </w:tcPr>
          <w:p w14:paraId="50A6A3D8"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nil"/>
              <w:left w:val="nil"/>
              <w:bottom w:val="nil"/>
              <w:right w:val="nil"/>
            </w:tcBorders>
          </w:tcPr>
          <w:p w14:paraId="23E864E5"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nil"/>
              <w:left w:val="nil"/>
              <w:bottom w:val="nil"/>
              <w:right w:val="nil"/>
            </w:tcBorders>
          </w:tcPr>
          <w:p w14:paraId="25736D59"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single" w:sz="4" w:space="0" w:color="auto"/>
              <w:left w:val="nil"/>
              <w:bottom w:val="nil"/>
              <w:right w:val="nil"/>
            </w:tcBorders>
          </w:tcPr>
          <w:p w14:paraId="5836C619"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5" w:type="pct"/>
            <w:tcBorders>
              <w:top w:val="single" w:sz="4" w:space="0" w:color="auto"/>
              <w:left w:val="nil"/>
              <w:bottom w:val="nil"/>
              <w:right w:val="nil"/>
            </w:tcBorders>
          </w:tcPr>
          <w:p w14:paraId="485A93F5"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r>
      <w:tr w:rsidR="001503A1" w:rsidRPr="001503A1" w14:paraId="3549275A" w14:textId="77777777" w:rsidTr="00746B28">
        <w:trPr>
          <w:jc w:val="center"/>
        </w:trPr>
        <w:tc>
          <w:tcPr>
            <w:tcW w:w="759" w:type="pct"/>
            <w:tcBorders>
              <w:top w:val="nil"/>
              <w:left w:val="nil"/>
              <w:bottom w:val="nil"/>
              <w:right w:val="nil"/>
            </w:tcBorders>
          </w:tcPr>
          <w:p w14:paraId="3474B126" w14:textId="77777777" w:rsidR="007D79CD" w:rsidRPr="001503A1" w:rsidRDefault="007D79CD" w:rsidP="007D79CD">
            <w:pPr>
              <w:autoSpaceDE w:val="0"/>
              <w:autoSpaceDN w:val="0"/>
              <w:contextualSpacing/>
              <w:jc w:val="left"/>
              <w:rPr>
                <w:rFonts w:ascii="Times New Roman" w:eastAsia="华文仿宋" w:hAnsi="Times New Roman" w:cs="Times New Roman"/>
                <w:i/>
                <w:iCs/>
                <w:color w:val="000000" w:themeColor="text1"/>
                <w:kern w:val="0"/>
                <w:sz w:val="18"/>
                <w:szCs w:val="18"/>
              </w:rPr>
            </w:pPr>
            <w:r w:rsidRPr="001503A1">
              <w:rPr>
                <w:rFonts w:ascii="Times New Roman" w:eastAsia="华文仿宋" w:hAnsi="Times New Roman" w:cs="Times New Roman"/>
                <w:i/>
                <w:iCs/>
                <w:color w:val="000000" w:themeColor="text1"/>
                <w:kern w:val="0"/>
                <w:sz w:val="18"/>
                <w:szCs w:val="18"/>
              </w:rPr>
              <w:t>Top1</w:t>
            </w:r>
          </w:p>
        </w:tc>
        <w:tc>
          <w:tcPr>
            <w:tcW w:w="606" w:type="pct"/>
            <w:tcBorders>
              <w:top w:val="nil"/>
              <w:left w:val="nil"/>
              <w:bottom w:val="nil"/>
              <w:right w:val="nil"/>
            </w:tcBorders>
          </w:tcPr>
          <w:p w14:paraId="7BBCC17D"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-0.648***</w:t>
            </w:r>
          </w:p>
        </w:tc>
        <w:tc>
          <w:tcPr>
            <w:tcW w:w="606" w:type="pct"/>
            <w:tcBorders>
              <w:top w:val="nil"/>
              <w:left w:val="nil"/>
              <w:bottom w:val="nil"/>
              <w:right w:val="nil"/>
            </w:tcBorders>
          </w:tcPr>
          <w:p w14:paraId="1357CB94"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1</w:t>
            </w:r>
          </w:p>
        </w:tc>
        <w:tc>
          <w:tcPr>
            <w:tcW w:w="606" w:type="pct"/>
            <w:tcBorders>
              <w:top w:val="nil"/>
              <w:left w:val="nil"/>
              <w:bottom w:val="nil"/>
              <w:right w:val="nil"/>
            </w:tcBorders>
          </w:tcPr>
          <w:p w14:paraId="2A29A749"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nil"/>
              <w:left w:val="nil"/>
              <w:bottom w:val="nil"/>
              <w:right w:val="nil"/>
            </w:tcBorders>
          </w:tcPr>
          <w:p w14:paraId="1B03700B"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nil"/>
              <w:left w:val="nil"/>
              <w:bottom w:val="nil"/>
              <w:right w:val="nil"/>
            </w:tcBorders>
          </w:tcPr>
          <w:p w14:paraId="6DEE0546"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nil"/>
              <w:left w:val="nil"/>
              <w:bottom w:val="nil"/>
              <w:right w:val="nil"/>
            </w:tcBorders>
          </w:tcPr>
          <w:p w14:paraId="5F4D3FDF"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5" w:type="pct"/>
            <w:tcBorders>
              <w:top w:val="nil"/>
              <w:left w:val="nil"/>
              <w:bottom w:val="nil"/>
              <w:right w:val="nil"/>
            </w:tcBorders>
          </w:tcPr>
          <w:p w14:paraId="31982827"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r>
      <w:tr w:rsidR="001503A1" w:rsidRPr="001503A1" w14:paraId="3E1CF547" w14:textId="77777777" w:rsidTr="00746B28">
        <w:trPr>
          <w:jc w:val="center"/>
        </w:trPr>
        <w:tc>
          <w:tcPr>
            <w:tcW w:w="759" w:type="pct"/>
            <w:tcBorders>
              <w:top w:val="nil"/>
              <w:left w:val="nil"/>
              <w:bottom w:val="nil"/>
              <w:right w:val="nil"/>
            </w:tcBorders>
          </w:tcPr>
          <w:p w14:paraId="5277709A" w14:textId="77777777" w:rsidR="007D79CD" w:rsidRPr="001503A1" w:rsidRDefault="007D79CD" w:rsidP="007D79CD">
            <w:pPr>
              <w:autoSpaceDE w:val="0"/>
              <w:autoSpaceDN w:val="0"/>
              <w:contextualSpacing/>
              <w:jc w:val="left"/>
              <w:rPr>
                <w:rFonts w:ascii="Times New Roman" w:eastAsia="华文仿宋" w:hAnsi="Times New Roman" w:cs="Times New Roman"/>
                <w:i/>
                <w:iCs/>
                <w:color w:val="000000" w:themeColor="text1"/>
                <w:kern w:val="0"/>
                <w:sz w:val="18"/>
                <w:szCs w:val="18"/>
              </w:rPr>
            </w:pPr>
            <w:r w:rsidRPr="001503A1">
              <w:rPr>
                <w:rFonts w:ascii="Times New Roman" w:eastAsia="华文仿宋" w:hAnsi="Times New Roman" w:cs="Times New Roman" w:hint="eastAsia"/>
                <w:i/>
                <w:iCs/>
                <w:color w:val="000000" w:themeColor="text1"/>
                <w:kern w:val="0"/>
                <w:sz w:val="18"/>
                <w:szCs w:val="18"/>
              </w:rPr>
              <w:t>S</w:t>
            </w:r>
            <w:r w:rsidRPr="001503A1">
              <w:rPr>
                <w:rFonts w:ascii="Times New Roman" w:eastAsia="华文仿宋" w:hAnsi="Times New Roman" w:cs="Times New Roman"/>
                <w:i/>
                <w:iCs/>
                <w:color w:val="000000" w:themeColor="text1"/>
                <w:kern w:val="0"/>
                <w:sz w:val="18"/>
                <w:szCs w:val="18"/>
              </w:rPr>
              <w:t>alary</w:t>
            </w:r>
          </w:p>
        </w:tc>
        <w:tc>
          <w:tcPr>
            <w:tcW w:w="606" w:type="pct"/>
            <w:tcBorders>
              <w:top w:val="nil"/>
              <w:left w:val="nil"/>
              <w:bottom w:val="nil"/>
              <w:right w:val="nil"/>
            </w:tcBorders>
          </w:tcPr>
          <w:p w14:paraId="4B2793AB"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0.145***</w:t>
            </w:r>
          </w:p>
        </w:tc>
        <w:tc>
          <w:tcPr>
            <w:tcW w:w="606" w:type="pct"/>
            <w:tcBorders>
              <w:top w:val="nil"/>
              <w:left w:val="nil"/>
              <w:bottom w:val="nil"/>
              <w:right w:val="nil"/>
            </w:tcBorders>
          </w:tcPr>
          <w:p w14:paraId="4858EB26"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-0.0040</w:t>
            </w:r>
          </w:p>
        </w:tc>
        <w:tc>
          <w:tcPr>
            <w:tcW w:w="606" w:type="pct"/>
            <w:tcBorders>
              <w:top w:val="nil"/>
              <w:left w:val="nil"/>
              <w:bottom w:val="nil"/>
              <w:right w:val="nil"/>
            </w:tcBorders>
          </w:tcPr>
          <w:p w14:paraId="1641FD74"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1</w:t>
            </w:r>
          </w:p>
        </w:tc>
        <w:tc>
          <w:tcPr>
            <w:tcW w:w="606" w:type="pct"/>
            <w:tcBorders>
              <w:top w:val="nil"/>
              <w:left w:val="nil"/>
              <w:bottom w:val="nil"/>
              <w:right w:val="nil"/>
            </w:tcBorders>
          </w:tcPr>
          <w:p w14:paraId="7CA50D26"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nil"/>
              <w:left w:val="nil"/>
              <w:bottom w:val="nil"/>
              <w:right w:val="nil"/>
            </w:tcBorders>
          </w:tcPr>
          <w:p w14:paraId="62F66BFB"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nil"/>
              <w:left w:val="nil"/>
              <w:bottom w:val="nil"/>
              <w:right w:val="nil"/>
            </w:tcBorders>
          </w:tcPr>
          <w:p w14:paraId="22995BB8"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5" w:type="pct"/>
            <w:tcBorders>
              <w:top w:val="nil"/>
              <w:left w:val="nil"/>
              <w:bottom w:val="nil"/>
              <w:right w:val="nil"/>
            </w:tcBorders>
          </w:tcPr>
          <w:p w14:paraId="70606C05"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r>
      <w:tr w:rsidR="001503A1" w:rsidRPr="001503A1" w14:paraId="37380CDE" w14:textId="77777777" w:rsidTr="00746B28">
        <w:trPr>
          <w:jc w:val="center"/>
        </w:trPr>
        <w:tc>
          <w:tcPr>
            <w:tcW w:w="759" w:type="pct"/>
            <w:tcBorders>
              <w:top w:val="nil"/>
              <w:left w:val="nil"/>
              <w:bottom w:val="nil"/>
              <w:right w:val="nil"/>
            </w:tcBorders>
          </w:tcPr>
          <w:p w14:paraId="77FA6933" w14:textId="77777777" w:rsidR="007D79CD" w:rsidRPr="001503A1" w:rsidRDefault="007D79CD" w:rsidP="007D79CD">
            <w:pPr>
              <w:autoSpaceDE w:val="0"/>
              <w:autoSpaceDN w:val="0"/>
              <w:contextualSpacing/>
              <w:jc w:val="left"/>
              <w:rPr>
                <w:rFonts w:ascii="Times New Roman" w:eastAsia="华文仿宋" w:hAnsi="Times New Roman" w:cs="Times New Roman"/>
                <w:i/>
                <w:iCs/>
                <w:color w:val="000000" w:themeColor="text1"/>
                <w:kern w:val="0"/>
                <w:sz w:val="18"/>
                <w:szCs w:val="18"/>
              </w:rPr>
            </w:pPr>
            <w:r w:rsidRPr="001503A1">
              <w:rPr>
                <w:rFonts w:ascii="Times New Roman" w:eastAsia="华文仿宋" w:hAnsi="Times New Roman" w:cs="Times New Roman"/>
                <w:i/>
                <w:iCs/>
                <w:color w:val="000000" w:themeColor="text1"/>
                <w:kern w:val="0"/>
                <w:sz w:val="18"/>
                <w:szCs w:val="18"/>
              </w:rPr>
              <w:t>Inst</w:t>
            </w:r>
          </w:p>
        </w:tc>
        <w:tc>
          <w:tcPr>
            <w:tcW w:w="606" w:type="pct"/>
            <w:tcBorders>
              <w:top w:val="nil"/>
              <w:left w:val="nil"/>
              <w:bottom w:val="nil"/>
              <w:right w:val="nil"/>
            </w:tcBorders>
          </w:tcPr>
          <w:p w14:paraId="5CA2C382"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-0.028***</w:t>
            </w:r>
          </w:p>
        </w:tc>
        <w:tc>
          <w:tcPr>
            <w:tcW w:w="606" w:type="pct"/>
            <w:tcBorders>
              <w:top w:val="nil"/>
              <w:left w:val="nil"/>
              <w:bottom w:val="nil"/>
              <w:right w:val="nil"/>
            </w:tcBorders>
          </w:tcPr>
          <w:p w14:paraId="6B334756"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0.664***</w:t>
            </w:r>
          </w:p>
        </w:tc>
        <w:tc>
          <w:tcPr>
            <w:tcW w:w="606" w:type="pct"/>
            <w:tcBorders>
              <w:top w:val="nil"/>
              <w:left w:val="nil"/>
              <w:bottom w:val="nil"/>
              <w:right w:val="nil"/>
            </w:tcBorders>
          </w:tcPr>
          <w:p w14:paraId="2944AAC6"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0.204***</w:t>
            </w:r>
          </w:p>
        </w:tc>
        <w:tc>
          <w:tcPr>
            <w:tcW w:w="606" w:type="pct"/>
            <w:tcBorders>
              <w:top w:val="nil"/>
              <w:left w:val="nil"/>
              <w:bottom w:val="nil"/>
              <w:right w:val="nil"/>
            </w:tcBorders>
          </w:tcPr>
          <w:p w14:paraId="4A584393"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1</w:t>
            </w:r>
          </w:p>
        </w:tc>
        <w:tc>
          <w:tcPr>
            <w:tcW w:w="606" w:type="pct"/>
            <w:tcBorders>
              <w:top w:val="nil"/>
              <w:left w:val="nil"/>
              <w:bottom w:val="nil"/>
              <w:right w:val="nil"/>
            </w:tcBorders>
          </w:tcPr>
          <w:p w14:paraId="3725297B"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6" w:type="pct"/>
            <w:tcBorders>
              <w:top w:val="nil"/>
              <w:left w:val="nil"/>
              <w:bottom w:val="nil"/>
              <w:right w:val="nil"/>
            </w:tcBorders>
          </w:tcPr>
          <w:p w14:paraId="27B52DAD"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5" w:type="pct"/>
            <w:tcBorders>
              <w:top w:val="nil"/>
              <w:left w:val="nil"/>
              <w:bottom w:val="nil"/>
              <w:right w:val="nil"/>
            </w:tcBorders>
          </w:tcPr>
          <w:p w14:paraId="6CA5FF17"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r>
      <w:tr w:rsidR="007D79CD" w:rsidRPr="001503A1" w14:paraId="71EE70A7" w14:textId="77777777" w:rsidTr="00746B28">
        <w:tblPrEx>
          <w:tblBorders>
            <w:bottom w:val="single" w:sz="6" w:space="0" w:color="auto"/>
          </w:tblBorders>
        </w:tblPrEx>
        <w:trPr>
          <w:jc w:val="center"/>
        </w:trPr>
        <w:tc>
          <w:tcPr>
            <w:tcW w:w="759" w:type="pct"/>
            <w:tcBorders>
              <w:top w:val="nil"/>
              <w:left w:val="nil"/>
              <w:bottom w:val="single" w:sz="6" w:space="0" w:color="auto"/>
              <w:right w:val="nil"/>
            </w:tcBorders>
          </w:tcPr>
          <w:p w14:paraId="7C526FB2" w14:textId="77777777" w:rsidR="007D79CD" w:rsidRPr="001503A1" w:rsidRDefault="007D79CD" w:rsidP="007D79CD">
            <w:pPr>
              <w:autoSpaceDE w:val="0"/>
              <w:autoSpaceDN w:val="0"/>
              <w:contextualSpacing/>
              <w:jc w:val="left"/>
              <w:rPr>
                <w:rFonts w:ascii="Times New Roman" w:eastAsia="华文仿宋" w:hAnsi="Times New Roman" w:cs="Times New Roman"/>
                <w:i/>
                <w:iCs/>
                <w:color w:val="000000" w:themeColor="text1"/>
                <w:kern w:val="0"/>
                <w:sz w:val="18"/>
                <w:szCs w:val="18"/>
              </w:rPr>
            </w:pPr>
            <w:r w:rsidRPr="001503A1">
              <w:rPr>
                <w:rFonts w:ascii="Times New Roman" w:eastAsia="华文仿宋" w:hAnsi="Times New Roman" w:cs="Times New Roman" w:hint="eastAsia"/>
                <w:i/>
                <w:iCs/>
                <w:color w:val="000000" w:themeColor="text1"/>
                <w:kern w:val="0"/>
                <w:sz w:val="18"/>
                <w:szCs w:val="18"/>
              </w:rPr>
              <w:t>FinBack</w:t>
            </w:r>
          </w:p>
        </w:tc>
        <w:tc>
          <w:tcPr>
            <w:tcW w:w="606" w:type="pct"/>
            <w:tcBorders>
              <w:top w:val="nil"/>
              <w:left w:val="nil"/>
              <w:bottom w:val="single" w:sz="6" w:space="0" w:color="auto"/>
              <w:right w:val="nil"/>
            </w:tcBorders>
          </w:tcPr>
          <w:p w14:paraId="0193F1B6"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0.068***</w:t>
            </w:r>
          </w:p>
        </w:tc>
        <w:tc>
          <w:tcPr>
            <w:tcW w:w="606" w:type="pct"/>
            <w:tcBorders>
              <w:top w:val="nil"/>
              <w:left w:val="nil"/>
              <w:bottom w:val="single" w:sz="6" w:space="0" w:color="auto"/>
              <w:right w:val="nil"/>
            </w:tcBorders>
          </w:tcPr>
          <w:p w14:paraId="23AC71EA"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-0.0040</w:t>
            </w:r>
          </w:p>
        </w:tc>
        <w:tc>
          <w:tcPr>
            <w:tcW w:w="606" w:type="pct"/>
            <w:tcBorders>
              <w:top w:val="nil"/>
              <w:left w:val="nil"/>
              <w:bottom w:val="single" w:sz="6" w:space="0" w:color="auto"/>
              <w:right w:val="nil"/>
            </w:tcBorders>
          </w:tcPr>
          <w:p w14:paraId="299AEA96"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0.055***</w:t>
            </w:r>
          </w:p>
        </w:tc>
        <w:tc>
          <w:tcPr>
            <w:tcW w:w="606" w:type="pct"/>
            <w:tcBorders>
              <w:top w:val="nil"/>
              <w:left w:val="nil"/>
              <w:bottom w:val="single" w:sz="6" w:space="0" w:color="auto"/>
              <w:right w:val="nil"/>
            </w:tcBorders>
          </w:tcPr>
          <w:p w14:paraId="372653E6"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0.057***</w:t>
            </w:r>
          </w:p>
        </w:tc>
        <w:tc>
          <w:tcPr>
            <w:tcW w:w="606" w:type="pct"/>
            <w:tcBorders>
              <w:top w:val="nil"/>
              <w:left w:val="nil"/>
              <w:bottom w:val="single" w:sz="6" w:space="0" w:color="auto"/>
              <w:right w:val="nil"/>
            </w:tcBorders>
          </w:tcPr>
          <w:p w14:paraId="546D60C1"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r w:rsidRPr="001503A1">
              <w:rPr>
                <w:rFonts w:ascii="Times New Roman" w:hAnsi="Times New Roman" w:cs="Times New Roman"/>
                <w:color w:val="000000" w:themeColor="text1"/>
                <w:kern w:val="0"/>
                <w:sz w:val="18"/>
                <w:szCs w:val="18"/>
              </w:rPr>
              <w:t>1</w:t>
            </w:r>
          </w:p>
        </w:tc>
        <w:tc>
          <w:tcPr>
            <w:tcW w:w="606" w:type="pct"/>
            <w:tcBorders>
              <w:top w:val="nil"/>
              <w:left w:val="nil"/>
              <w:bottom w:val="single" w:sz="6" w:space="0" w:color="auto"/>
              <w:right w:val="nil"/>
            </w:tcBorders>
          </w:tcPr>
          <w:p w14:paraId="0325A522"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c>
          <w:tcPr>
            <w:tcW w:w="605" w:type="pct"/>
            <w:tcBorders>
              <w:top w:val="nil"/>
              <w:left w:val="nil"/>
              <w:bottom w:val="single" w:sz="6" w:space="0" w:color="auto"/>
              <w:right w:val="nil"/>
            </w:tcBorders>
          </w:tcPr>
          <w:p w14:paraId="563CB4BC" w14:textId="77777777" w:rsidR="007D79CD" w:rsidRPr="001503A1" w:rsidRDefault="007D79CD" w:rsidP="007D79CD">
            <w:pPr>
              <w:autoSpaceDE w:val="0"/>
              <w:autoSpaceDN w:val="0"/>
              <w:contextualSpacing/>
              <w:jc w:val="center"/>
              <w:rPr>
                <w:rFonts w:ascii="Times New Roman" w:eastAsia="华文仿宋" w:hAnsi="Times New Roman" w:cs="Times New Roman"/>
                <w:color w:val="000000" w:themeColor="text1"/>
                <w:kern w:val="0"/>
                <w:sz w:val="18"/>
                <w:szCs w:val="18"/>
              </w:rPr>
            </w:pPr>
          </w:p>
        </w:tc>
      </w:tr>
    </w:tbl>
    <w:p w14:paraId="3D5C2515" w14:textId="77777777" w:rsidR="007D79CD" w:rsidRPr="001503A1" w:rsidRDefault="007D79CD" w:rsidP="007D79CD">
      <w:pPr>
        <w:autoSpaceDE w:val="0"/>
        <w:autoSpaceDN w:val="0"/>
        <w:spacing w:line="288" w:lineRule="auto"/>
        <w:ind w:firstLineChars="200" w:firstLine="420"/>
        <w:contextualSpacing/>
        <w:rPr>
          <w:rFonts w:ascii="Times New Roman" w:eastAsia="宋体" w:hAnsi="Times New Roman" w:cs="Times New Roman"/>
          <w:color w:val="000000" w:themeColor="text1"/>
          <w:szCs w:val="21"/>
        </w:rPr>
      </w:pPr>
    </w:p>
    <w:p w14:paraId="69332F73" w14:textId="3FE632BF" w:rsidR="001A124A" w:rsidRPr="001503A1" w:rsidRDefault="00795373" w:rsidP="001A124A">
      <w:pPr>
        <w:keepNext/>
        <w:keepLines/>
        <w:ind w:firstLineChars="200" w:firstLine="422"/>
        <w:contextualSpacing/>
        <w:outlineLvl w:val="1"/>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附录</w:t>
      </w:r>
      <w:r w:rsidR="00813817">
        <w:rPr>
          <w:rFonts w:ascii="Times New Roman" w:eastAsia="黑体" w:hAnsi="Times New Roman" w:cs="Times New Roman" w:hint="eastAsia"/>
          <w:b/>
          <w:bCs/>
          <w:color w:val="000000" w:themeColor="text1"/>
          <w:szCs w:val="21"/>
        </w:rPr>
        <w:t>2</w:t>
      </w:r>
      <w:r w:rsidRPr="001503A1">
        <w:rPr>
          <w:rFonts w:ascii="Times New Roman" w:eastAsia="黑体" w:hAnsi="Times New Roman" w:cs="Times New Roman" w:hint="eastAsia"/>
          <w:b/>
          <w:bCs/>
          <w:color w:val="000000" w:themeColor="text1"/>
          <w:szCs w:val="21"/>
        </w:rPr>
        <w:t>：</w:t>
      </w:r>
      <w:r w:rsidR="00A84C95" w:rsidRPr="001503A1">
        <w:rPr>
          <w:rFonts w:ascii="Times New Roman" w:eastAsia="黑体" w:hAnsi="Times New Roman" w:cs="Times New Roman" w:hint="eastAsia"/>
          <w:b/>
          <w:bCs/>
          <w:color w:val="000000" w:themeColor="text1"/>
          <w:szCs w:val="21"/>
        </w:rPr>
        <w:t>内生</w:t>
      </w:r>
      <w:r w:rsidR="001A124A" w:rsidRPr="001503A1">
        <w:rPr>
          <w:rFonts w:ascii="Times New Roman" w:eastAsia="黑体" w:hAnsi="Times New Roman" w:cs="Times New Roman" w:hint="eastAsia"/>
          <w:b/>
          <w:bCs/>
          <w:color w:val="000000" w:themeColor="text1"/>
          <w:szCs w:val="21"/>
        </w:rPr>
        <w:t>性检验</w:t>
      </w:r>
    </w:p>
    <w:p w14:paraId="4F92C913" w14:textId="6224E240" w:rsidR="003303F3" w:rsidRPr="001503A1" w:rsidRDefault="001A124A"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1</w:t>
      </w:r>
      <w:r w:rsidR="003303F3" w:rsidRPr="001503A1">
        <w:rPr>
          <w:rFonts w:ascii="Times New Roman" w:eastAsia="宋体" w:hAnsi="Times New Roman" w:cs="Times New Roman" w:hint="eastAsia"/>
          <w:color w:val="000000" w:themeColor="text1"/>
        </w:rPr>
        <w:t>.</w:t>
      </w:r>
      <w:r w:rsidR="003303F3" w:rsidRPr="001503A1">
        <w:rPr>
          <w:rFonts w:ascii="Times New Roman" w:eastAsia="宋体" w:hAnsi="Times New Roman" w:cs="Times New Roman"/>
          <w:color w:val="000000" w:themeColor="text1"/>
        </w:rPr>
        <w:t>内生性问题</w:t>
      </w:r>
    </w:p>
    <w:p w14:paraId="4D38B2B8" w14:textId="77777777" w:rsidR="003303F3" w:rsidRPr="001503A1" w:rsidRDefault="003303F3"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尽管我们控制了企业固定效应与时间固定效应并纳入了丰富的控制变量，但仍可能存在部分企业</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时间层面可观测或不可观测的变量遗漏，而对回归结果造成干扰。此外，由于划转国有资本充实社保基金政策实施原则是试点先行、分级组织和稳步推进，故本文实验组企业和控制组企业的分组可能并非随机。为此，本文采用以下三种方式缓解潜在的内生性问题。</w:t>
      </w:r>
    </w:p>
    <w:p w14:paraId="132D2E5D" w14:textId="2BCCC5DC" w:rsidR="003303F3" w:rsidRPr="001503A1" w:rsidRDefault="003303F3"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首先，鉴于控制变量也可能受到</w:t>
      </w:r>
      <w:r w:rsidR="000378C5" w:rsidRPr="000378C5">
        <w:rPr>
          <w:rFonts w:ascii="Times New Roman" w:eastAsia="宋体" w:hAnsi="Times New Roman" w:cs="Times New Roman" w:hint="eastAsia"/>
          <w:color w:val="000000" w:themeColor="text1"/>
        </w:rPr>
        <w:t>国有资本划转</w:t>
      </w:r>
      <w:r w:rsidRPr="001503A1">
        <w:rPr>
          <w:rFonts w:ascii="Times New Roman" w:eastAsia="宋体" w:hAnsi="Times New Roman" w:cs="Times New Roman"/>
          <w:color w:val="000000" w:themeColor="text1"/>
        </w:rPr>
        <w:t>政策的影响，如企业现金持有等可能因政策信号效应而发生改变，这会导致本文存在</w:t>
      </w:r>
      <w:r w:rsidRPr="001503A1">
        <w:rPr>
          <w:rFonts w:ascii="Times New Roman" w:eastAsia="宋体" w:hAnsi="Times New Roman" w:cs="Times New Roman"/>
          <w:color w:val="000000" w:themeColor="text1"/>
        </w:rPr>
        <w:t>Bad Control</w:t>
      </w:r>
      <w:r w:rsidRPr="001503A1">
        <w:rPr>
          <w:rFonts w:ascii="Times New Roman" w:eastAsia="宋体" w:hAnsi="Times New Roman" w:cs="Times New Roman"/>
          <w:color w:val="000000" w:themeColor="text1"/>
        </w:rPr>
        <w:t>问题。为了消除</w:t>
      </w:r>
      <w:r w:rsidRPr="001503A1">
        <w:rPr>
          <w:rFonts w:ascii="Times New Roman" w:eastAsia="宋体" w:hAnsi="Times New Roman" w:cs="Times New Roman"/>
          <w:color w:val="000000" w:themeColor="text1"/>
        </w:rPr>
        <w:t>Bad Control</w:t>
      </w:r>
      <w:r w:rsidRPr="001503A1">
        <w:rPr>
          <w:rFonts w:ascii="Times New Roman" w:eastAsia="宋体" w:hAnsi="Times New Roman" w:cs="Times New Roman"/>
          <w:color w:val="000000" w:themeColor="text1"/>
        </w:rPr>
        <w:t>问题对基准回归结果的影响，本文参考既有研究的经典做法（</w:t>
      </w:r>
      <w:r w:rsidRPr="001503A1">
        <w:rPr>
          <w:rFonts w:ascii="Times New Roman" w:eastAsia="宋体" w:hAnsi="Times New Roman" w:cs="Times New Roman"/>
          <w:color w:val="000000" w:themeColor="text1"/>
        </w:rPr>
        <w:t>Lu</w:t>
      </w:r>
      <w:r w:rsidRPr="001503A1">
        <w:rPr>
          <w:rFonts w:ascii="Times New Roman" w:eastAsia="宋体" w:hAnsi="Times New Roman" w:cs="Times New Roman"/>
          <w:color w:val="000000" w:themeColor="text1"/>
        </w:rPr>
        <w:t>等，</w:t>
      </w:r>
      <w:r w:rsidRPr="001503A1">
        <w:rPr>
          <w:rFonts w:ascii="Times New Roman" w:eastAsia="宋体" w:hAnsi="Times New Roman" w:cs="Times New Roman"/>
          <w:color w:val="000000" w:themeColor="text1"/>
        </w:rPr>
        <w:t>2019</w:t>
      </w:r>
      <w:r w:rsidRPr="001503A1">
        <w:rPr>
          <w:rFonts w:ascii="Times New Roman" w:eastAsia="宋体" w:hAnsi="Times New Roman" w:cs="Times New Roman"/>
          <w:color w:val="000000" w:themeColor="text1"/>
        </w:rPr>
        <w:t>；刘贯春等，</w:t>
      </w:r>
      <w:r w:rsidRPr="001503A1">
        <w:rPr>
          <w:rFonts w:ascii="Times New Roman" w:eastAsia="宋体" w:hAnsi="Times New Roman" w:cs="Times New Roman"/>
          <w:color w:val="000000" w:themeColor="text1"/>
        </w:rPr>
        <w:t>2024</w:t>
      </w:r>
      <w:r w:rsidRPr="001503A1">
        <w:rPr>
          <w:rFonts w:ascii="Times New Roman" w:eastAsia="宋体" w:hAnsi="Times New Roman" w:cs="Times New Roman"/>
          <w:color w:val="000000" w:themeColor="text1"/>
        </w:rPr>
        <w:t>），将初始的控制变量改为事前控制变量与时间趋势项的交互项进行重新估计。回归结果如</w:t>
      </w:r>
      <w:r w:rsidR="00D745B6" w:rsidRPr="001503A1">
        <w:rPr>
          <w:rFonts w:ascii="Times New Roman" w:eastAsia="宋体" w:hAnsi="Times New Roman" w:cs="Times New Roman" w:hint="eastAsia"/>
          <w:color w:val="000000" w:themeColor="text1"/>
        </w:rPr>
        <w:t>附表</w:t>
      </w:r>
      <w:r w:rsidR="00D745B6" w:rsidRPr="001503A1">
        <w:rPr>
          <w:rFonts w:ascii="Times New Roman" w:eastAsia="宋体" w:hAnsi="Times New Roman" w:cs="Times New Roman"/>
          <w:color w:val="000000" w:themeColor="text1"/>
        </w:rPr>
        <w:t>2</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）列所示。可以发现，在控制了事前控制变量与时间趋势项的交互项后，核心解释变量</w:t>
      </w:r>
      <w:r w:rsidRPr="001503A1">
        <w:rPr>
          <w:rFonts w:ascii="Times New Roman" w:eastAsia="宋体" w:hAnsi="Times New Roman" w:cs="Times New Roman"/>
          <w:i/>
          <w:iCs/>
          <w:color w:val="000000" w:themeColor="text1"/>
        </w:rPr>
        <w:t>Transfer</w:t>
      </w:r>
      <w:r w:rsidRPr="001503A1">
        <w:rPr>
          <w:rFonts w:ascii="Times New Roman" w:eastAsia="宋体" w:hAnsi="Times New Roman" w:cs="Times New Roman"/>
          <w:color w:val="000000" w:themeColor="text1"/>
        </w:rPr>
        <w:t>的系数依旧显著为负，这说明基准回归结果不受</w:t>
      </w:r>
      <w:r w:rsidRPr="001503A1">
        <w:rPr>
          <w:rFonts w:ascii="Times New Roman" w:eastAsia="宋体" w:hAnsi="Times New Roman" w:cs="Times New Roman"/>
          <w:color w:val="000000" w:themeColor="text1"/>
        </w:rPr>
        <w:t>Bad Control</w:t>
      </w:r>
      <w:r w:rsidRPr="001503A1">
        <w:rPr>
          <w:rFonts w:ascii="Times New Roman" w:eastAsia="宋体" w:hAnsi="Times New Roman" w:cs="Times New Roman"/>
          <w:color w:val="000000" w:themeColor="text1"/>
        </w:rPr>
        <w:t>问题的影响。</w:t>
      </w:r>
    </w:p>
    <w:p w14:paraId="47586061" w14:textId="4716EE03" w:rsidR="003303F3" w:rsidRPr="001503A1" w:rsidRDefault="003303F3"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进一步地，参考</w:t>
      </w:r>
      <w:r w:rsidRPr="001503A1">
        <w:rPr>
          <w:rFonts w:ascii="Times New Roman" w:eastAsia="宋体" w:hAnsi="Times New Roman" w:cs="Times New Roman"/>
          <w:color w:val="000000" w:themeColor="text1"/>
        </w:rPr>
        <w:t>Moser</w:t>
      </w:r>
      <w:r w:rsidRPr="001503A1">
        <w:rPr>
          <w:rFonts w:ascii="Times New Roman" w:eastAsia="宋体" w:hAnsi="Times New Roman" w:cs="Times New Roman"/>
          <w:color w:val="000000" w:themeColor="text1"/>
        </w:rPr>
        <w:t>和</w:t>
      </w:r>
      <w:r w:rsidRPr="001503A1">
        <w:rPr>
          <w:rFonts w:ascii="Times New Roman" w:eastAsia="宋体" w:hAnsi="Times New Roman" w:cs="Times New Roman"/>
          <w:color w:val="000000" w:themeColor="text1"/>
        </w:rPr>
        <w:t>Voena</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2012</w:t>
      </w:r>
      <w:r w:rsidRPr="001503A1">
        <w:rPr>
          <w:rFonts w:ascii="Times New Roman" w:eastAsia="宋体" w:hAnsi="Times New Roman" w:cs="Times New Roman"/>
          <w:color w:val="000000" w:themeColor="text1"/>
        </w:rPr>
        <w:t>）的研究设计，本文还控制了控制变量与时间趋势的三阶多项式、控制变量与时间虚拟变量之间的交互项，以控制影响企业风险承担水平的诸多影响因素的时间趋势。回归结果如</w:t>
      </w:r>
      <w:r w:rsidR="00D745B6" w:rsidRPr="001503A1">
        <w:rPr>
          <w:rFonts w:ascii="Times New Roman" w:eastAsia="宋体" w:hAnsi="Times New Roman" w:cs="Times New Roman" w:hint="eastAsia"/>
          <w:color w:val="000000" w:themeColor="text1"/>
        </w:rPr>
        <w:t>附表</w:t>
      </w:r>
      <w:r w:rsidR="00D745B6" w:rsidRPr="001503A1">
        <w:rPr>
          <w:rFonts w:ascii="Times New Roman" w:eastAsia="宋体" w:hAnsi="Times New Roman" w:cs="Times New Roman" w:hint="eastAsia"/>
          <w:color w:val="000000" w:themeColor="text1"/>
        </w:rPr>
        <w:t>2</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2</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3</w:t>
      </w:r>
      <w:r w:rsidRPr="001503A1">
        <w:rPr>
          <w:rFonts w:ascii="Times New Roman" w:eastAsia="宋体" w:hAnsi="Times New Roman" w:cs="Times New Roman"/>
          <w:color w:val="000000" w:themeColor="text1"/>
        </w:rPr>
        <w:t>）列所示。其中，第（</w:t>
      </w:r>
      <w:r w:rsidRPr="001503A1">
        <w:rPr>
          <w:rFonts w:ascii="Times New Roman" w:eastAsia="宋体" w:hAnsi="Times New Roman" w:cs="Times New Roman"/>
          <w:color w:val="000000" w:themeColor="text1"/>
        </w:rPr>
        <w:t>2</w:t>
      </w:r>
      <w:r w:rsidRPr="001503A1">
        <w:rPr>
          <w:rFonts w:ascii="Times New Roman" w:eastAsia="宋体" w:hAnsi="Times New Roman" w:cs="Times New Roman"/>
          <w:color w:val="000000" w:themeColor="text1"/>
        </w:rPr>
        <w:t>）列为</w:t>
      </w:r>
      <w:r w:rsidRPr="001503A1">
        <w:rPr>
          <w:rFonts w:ascii="Times New Roman" w:eastAsia="宋体" w:hAnsi="Times New Roman" w:cs="Times New Roman"/>
          <w:color w:val="000000" w:themeColor="text1"/>
        </w:rPr>
        <w:lastRenderedPageBreak/>
        <w:t>加入控制变量与时间趋势项三阶交互项后的估计结果，第（</w:t>
      </w:r>
      <w:r w:rsidRPr="001503A1">
        <w:rPr>
          <w:rFonts w:ascii="Times New Roman" w:eastAsia="宋体" w:hAnsi="Times New Roman" w:cs="Times New Roman"/>
          <w:color w:val="000000" w:themeColor="text1"/>
        </w:rPr>
        <w:t>3</w:t>
      </w:r>
      <w:r w:rsidRPr="001503A1">
        <w:rPr>
          <w:rFonts w:ascii="Times New Roman" w:eastAsia="宋体" w:hAnsi="Times New Roman" w:cs="Times New Roman"/>
          <w:color w:val="000000" w:themeColor="text1"/>
        </w:rPr>
        <w:t>）列为加入控制变量与时间虚拟变量后的估计结果。可以发现，核心解释变量</w:t>
      </w:r>
      <w:r w:rsidRPr="001503A1">
        <w:rPr>
          <w:rFonts w:ascii="Times New Roman" w:eastAsia="宋体" w:hAnsi="Times New Roman" w:cs="Times New Roman"/>
          <w:i/>
          <w:iCs/>
          <w:color w:val="000000" w:themeColor="text1"/>
        </w:rPr>
        <w:t>Transfer</w:t>
      </w:r>
      <w:r w:rsidRPr="001503A1">
        <w:rPr>
          <w:rFonts w:ascii="Times New Roman" w:eastAsia="宋体" w:hAnsi="Times New Roman" w:cs="Times New Roman"/>
          <w:color w:val="000000" w:themeColor="text1"/>
        </w:rPr>
        <w:t>的估计系数依旧在</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水平下显著为负，本文核心结论仍然稳健。</w:t>
      </w:r>
    </w:p>
    <w:p w14:paraId="247644BA" w14:textId="79B65D27" w:rsidR="003303F3" w:rsidRPr="001503A1" w:rsidRDefault="003303F3" w:rsidP="00FC76D0">
      <w:pPr>
        <w:ind w:firstLineChars="200" w:firstLine="420"/>
        <w:contextualSpacing/>
        <w:rPr>
          <w:rFonts w:ascii="Times New Roman" w:eastAsia="宋体" w:hAnsi="Times New Roman" w:cs="Times New Roman"/>
          <w:color w:val="000000" w:themeColor="text1"/>
          <w:kern w:val="0"/>
          <w:szCs w:val="21"/>
        </w:rPr>
      </w:pPr>
      <w:r w:rsidRPr="001503A1">
        <w:rPr>
          <w:rFonts w:ascii="Times New Roman" w:eastAsia="宋体" w:hAnsi="Times New Roman" w:cs="Times New Roman"/>
          <w:color w:val="000000" w:themeColor="text1"/>
        </w:rPr>
        <w:t>其次，实验组企业和控制组企业的分组可能并非随机，两者之间潜在的特征差异可能也会对基准回归结果产生影响。因此，本文首先采用</w:t>
      </w:r>
      <w:r w:rsidRPr="001503A1">
        <w:rPr>
          <w:rFonts w:ascii="Times New Roman" w:eastAsia="宋体" w:hAnsi="Times New Roman" w:cs="Times New Roman"/>
          <w:color w:val="000000" w:themeColor="text1"/>
        </w:rPr>
        <w:t>Heckman</w:t>
      </w:r>
      <w:r w:rsidRPr="001503A1">
        <w:rPr>
          <w:rFonts w:ascii="Times New Roman" w:eastAsia="宋体" w:hAnsi="Times New Roman" w:cs="Times New Roman"/>
          <w:color w:val="000000" w:themeColor="text1"/>
        </w:rPr>
        <w:t>两阶段模型来控制因遗漏不可观测变量造成的样本自选择偏差问题。第一阶段中将控制变量带入</w:t>
      </w:r>
      <w:r w:rsidRPr="001503A1">
        <w:rPr>
          <w:rFonts w:ascii="Times New Roman" w:eastAsia="宋体" w:hAnsi="Times New Roman" w:cs="Times New Roman"/>
          <w:color w:val="000000" w:themeColor="text1"/>
        </w:rPr>
        <w:t>Probit</w:t>
      </w:r>
      <w:r w:rsidRPr="001503A1">
        <w:rPr>
          <w:rFonts w:ascii="Times New Roman" w:eastAsia="宋体" w:hAnsi="Times New Roman" w:cs="Times New Roman"/>
          <w:color w:val="000000" w:themeColor="text1"/>
        </w:rPr>
        <w:t>模型中计算得到逆米尔斯比</w:t>
      </w:r>
      <w:r w:rsidRPr="001503A1">
        <w:rPr>
          <w:rFonts w:ascii="Times New Roman" w:eastAsia="宋体" w:hAnsi="Times New Roman" w:cs="Times New Roman"/>
          <w:color w:val="000000" w:themeColor="text1"/>
        </w:rPr>
        <w:t>IMR</w:t>
      </w:r>
      <w:r w:rsidRPr="001503A1">
        <w:rPr>
          <w:rFonts w:ascii="Times New Roman" w:eastAsia="宋体" w:hAnsi="Times New Roman" w:cs="Times New Roman"/>
          <w:color w:val="000000" w:themeColor="text1"/>
        </w:rPr>
        <w:t>，然后将</w:t>
      </w:r>
      <w:r w:rsidRPr="001503A1">
        <w:rPr>
          <w:rFonts w:ascii="Times New Roman" w:eastAsia="宋体" w:hAnsi="Times New Roman" w:cs="Times New Roman"/>
          <w:color w:val="000000" w:themeColor="text1"/>
        </w:rPr>
        <w:t>IMR</w:t>
      </w:r>
      <w:r w:rsidRPr="001503A1">
        <w:rPr>
          <w:rFonts w:ascii="Times New Roman" w:eastAsia="宋体" w:hAnsi="Times New Roman" w:cs="Times New Roman"/>
          <w:color w:val="000000" w:themeColor="text1"/>
        </w:rPr>
        <w:t>作为控制变量纳入第二阶段回归模型中。</w:t>
      </w:r>
      <w:r w:rsidR="00D745B6" w:rsidRPr="001503A1">
        <w:rPr>
          <w:rFonts w:ascii="Times New Roman" w:eastAsia="宋体" w:hAnsi="Times New Roman" w:cs="Times New Roman" w:hint="eastAsia"/>
          <w:color w:val="000000" w:themeColor="text1"/>
        </w:rPr>
        <w:t>附表</w:t>
      </w:r>
      <w:r w:rsidR="00D745B6" w:rsidRPr="001503A1">
        <w:rPr>
          <w:rFonts w:ascii="Times New Roman" w:eastAsia="宋体" w:hAnsi="Times New Roman" w:cs="Times New Roman" w:hint="eastAsia"/>
          <w:color w:val="000000" w:themeColor="text1"/>
        </w:rPr>
        <w:t>2</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4</w:t>
      </w:r>
      <w:r w:rsidRPr="001503A1">
        <w:rPr>
          <w:rFonts w:ascii="Times New Roman" w:eastAsia="宋体" w:hAnsi="Times New Roman" w:cs="Times New Roman"/>
          <w:color w:val="000000" w:themeColor="text1"/>
        </w:rPr>
        <w:t>）列报告了</w:t>
      </w:r>
      <w:r w:rsidRPr="001503A1">
        <w:rPr>
          <w:rFonts w:ascii="Times New Roman" w:eastAsia="宋体" w:hAnsi="Times New Roman" w:cs="Times New Roman"/>
          <w:color w:val="000000" w:themeColor="text1"/>
        </w:rPr>
        <w:t>Heckman</w:t>
      </w:r>
      <w:r w:rsidRPr="001503A1">
        <w:rPr>
          <w:rFonts w:ascii="Times New Roman" w:eastAsia="宋体" w:hAnsi="Times New Roman" w:cs="Times New Roman"/>
          <w:color w:val="000000" w:themeColor="text1"/>
        </w:rPr>
        <w:t>两阶段模型的回归结果，可以在控制了样本自选择偏差后，核心解释变量</w:t>
      </w:r>
      <w:r w:rsidRPr="001503A1">
        <w:rPr>
          <w:rFonts w:ascii="Times New Roman" w:eastAsia="宋体" w:hAnsi="Times New Roman" w:cs="Times New Roman"/>
          <w:i/>
          <w:iCs/>
          <w:color w:val="000000" w:themeColor="text1"/>
        </w:rPr>
        <w:t>Transfer</w:t>
      </w:r>
      <w:r w:rsidRPr="001503A1">
        <w:rPr>
          <w:rFonts w:ascii="Times New Roman" w:eastAsia="宋体" w:hAnsi="Times New Roman" w:cs="Times New Roman"/>
          <w:color w:val="000000" w:themeColor="text1"/>
        </w:rPr>
        <w:t>的系数依旧显著为负，本文研究结论依旧稳健。其次，为了进一步排除样本自选择偏差造成的内生性问题，我们参考余长林和马青山（</w:t>
      </w:r>
      <w:r w:rsidRPr="001503A1">
        <w:rPr>
          <w:rFonts w:ascii="Times New Roman" w:eastAsia="宋体" w:hAnsi="Times New Roman" w:cs="Times New Roman"/>
          <w:color w:val="000000" w:themeColor="text1"/>
        </w:rPr>
        <w:t>2023</w:t>
      </w:r>
      <w:r w:rsidRPr="001503A1">
        <w:rPr>
          <w:rFonts w:ascii="Times New Roman" w:eastAsia="宋体" w:hAnsi="Times New Roman" w:cs="Times New Roman"/>
          <w:color w:val="000000" w:themeColor="text1"/>
        </w:rPr>
        <w:t>）的研究，进行混合匹配。在匹配过程中，本文选取所有控制变量作为协变量，采用</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2</w:t>
      </w:r>
      <w:r w:rsidRPr="001503A1">
        <w:rPr>
          <w:rFonts w:ascii="Times New Roman" w:eastAsia="宋体" w:hAnsi="Times New Roman" w:cs="Times New Roman"/>
          <w:color w:val="000000" w:themeColor="text1"/>
        </w:rPr>
        <w:t>不放回最近邻匹配法，并将处理组和控制组之间距离的最大值（</w:t>
      </w:r>
      <w:r w:rsidRPr="001503A1">
        <w:rPr>
          <w:rFonts w:ascii="Times New Roman" w:eastAsia="宋体" w:hAnsi="Times New Roman" w:cs="Times New Roman"/>
          <w:color w:val="000000" w:themeColor="text1"/>
        </w:rPr>
        <w:t>caliper</w:t>
      </w:r>
      <w:r w:rsidRPr="001503A1">
        <w:rPr>
          <w:rFonts w:ascii="Times New Roman" w:eastAsia="宋体" w:hAnsi="Times New Roman" w:cs="Times New Roman"/>
          <w:color w:val="000000" w:themeColor="text1"/>
        </w:rPr>
        <w:t>）限制为</w:t>
      </w:r>
      <w:r w:rsidRPr="001503A1">
        <w:rPr>
          <w:rFonts w:ascii="Times New Roman" w:eastAsia="宋体" w:hAnsi="Times New Roman" w:cs="Times New Roman"/>
          <w:color w:val="000000" w:themeColor="text1"/>
        </w:rPr>
        <w:t>0.05</w:t>
      </w:r>
      <w:r w:rsidRPr="001503A1">
        <w:rPr>
          <w:rFonts w:ascii="Times New Roman" w:eastAsia="宋体" w:hAnsi="Times New Roman" w:cs="Times New Roman"/>
          <w:color w:val="000000" w:themeColor="text1"/>
        </w:rPr>
        <w:t>。通过对匹配之后的样本进行异性检验，可以发现，所有协变量在实验组企业和控制组企业之间均不存在显著差异，这说明实验组企业和控制组企业的特征已经较为接近。进一步，依据计量模型（</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），本文对匹配后的样本重新进行估计，回归结果如</w:t>
      </w:r>
      <w:r w:rsidR="00D745B6" w:rsidRPr="001503A1">
        <w:rPr>
          <w:rFonts w:ascii="Times New Roman" w:eastAsia="宋体" w:hAnsi="Times New Roman" w:cs="Times New Roman" w:hint="eastAsia"/>
          <w:color w:val="000000" w:themeColor="text1"/>
        </w:rPr>
        <w:t>附表</w:t>
      </w:r>
      <w:r w:rsidR="00D745B6" w:rsidRPr="001503A1">
        <w:rPr>
          <w:rFonts w:ascii="Times New Roman" w:eastAsia="宋体" w:hAnsi="Times New Roman" w:cs="Times New Roman" w:hint="eastAsia"/>
          <w:color w:val="000000" w:themeColor="text1"/>
        </w:rPr>
        <w:t>2</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5</w:t>
      </w:r>
      <w:r w:rsidRPr="001503A1">
        <w:rPr>
          <w:rFonts w:ascii="Times New Roman" w:eastAsia="宋体" w:hAnsi="Times New Roman" w:cs="Times New Roman"/>
          <w:color w:val="000000" w:themeColor="text1"/>
        </w:rPr>
        <w:t>）列所示。可以发现，核心解释变量</w:t>
      </w:r>
      <w:r w:rsidRPr="001503A1">
        <w:rPr>
          <w:rFonts w:ascii="Times New Roman" w:eastAsia="宋体" w:hAnsi="Times New Roman" w:cs="Times New Roman"/>
          <w:i/>
          <w:iCs/>
          <w:color w:val="000000" w:themeColor="text1"/>
        </w:rPr>
        <w:t>Transfer</w:t>
      </w:r>
      <w:r w:rsidRPr="001503A1">
        <w:rPr>
          <w:rFonts w:ascii="Times New Roman" w:eastAsia="宋体" w:hAnsi="Times New Roman" w:cs="Times New Roman"/>
          <w:color w:val="000000" w:themeColor="text1"/>
        </w:rPr>
        <w:t>的估计系数均显著为负。这说明，在控制实验组企业和控制组企业之间的潜在特征差异后，本文估计结果仍然稳健。</w:t>
      </w:r>
    </w:p>
    <w:p w14:paraId="68376517" w14:textId="3A3C855C" w:rsidR="003303F3" w:rsidRPr="001503A1" w:rsidRDefault="00D745B6" w:rsidP="003303F3">
      <w:pPr>
        <w:ind w:firstLineChars="200" w:firstLine="422"/>
        <w:contextualSpacing/>
        <w:jc w:val="left"/>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w:t>
      </w:r>
      <w:r w:rsidR="003303F3" w:rsidRPr="001503A1">
        <w:rPr>
          <w:rFonts w:ascii="Times New Roman" w:eastAsia="黑体" w:hAnsi="Times New Roman" w:cs="Times New Roman"/>
          <w:b/>
          <w:bCs/>
          <w:color w:val="000000" w:themeColor="text1"/>
          <w:szCs w:val="21"/>
        </w:rPr>
        <w:t>表</w:t>
      </w:r>
      <w:r w:rsidRPr="001503A1">
        <w:rPr>
          <w:rFonts w:ascii="Times New Roman" w:eastAsia="黑体" w:hAnsi="Times New Roman" w:cs="Times New Roman"/>
          <w:b/>
          <w:bCs/>
          <w:color w:val="000000" w:themeColor="text1"/>
          <w:szCs w:val="21"/>
        </w:rPr>
        <w:t>2</w:t>
      </w:r>
      <w:r w:rsidR="003303F3" w:rsidRPr="001503A1">
        <w:rPr>
          <w:rFonts w:ascii="Times New Roman" w:eastAsia="黑体" w:hAnsi="Times New Roman" w:cs="Times New Roman"/>
          <w:b/>
          <w:bCs/>
          <w:color w:val="000000" w:themeColor="text1"/>
          <w:szCs w:val="21"/>
        </w:rPr>
        <w:t xml:space="preserve"> </w:t>
      </w:r>
      <w:r w:rsidR="003303F3" w:rsidRPr="001503A1">
        <w:rPr>
          <w:rFonts w:ascii="Times New Roman" w:eastAsia="黑体" w:hAnsi="Times New Roman" w:cs="Times New Roman" w:hint="eastAsia"/>
          <w:b/>
          <w:bCs/>
          <w:color w:val="000000" w:themeColor="text1"/>
          <w:szCs w:val="21"/>
        </w:rPr>
        <w:t xml:space="preserve"> </w:t>
      </w:r>
      <w:r w:rsidR="003303F3" w:rsidRPr="001503A1">
        <w:rPr>
          <w:rFonts w:ascii="Times New Roman" w:eastAsia="黑体" w:hAnsi="Times New Roman" w:cs="Times New Roman"/>
          <w:b/>
          <w:bCs/>
          <w:color w:val="000000" w:themeColor="text1"/>
          <w:szCs w:val="21"/>
        </w:rPr>
        <w:t xml:space="preserve">                       </w:t>
      </w:r>
      <w:r w:rsidR="003303F3" w:rsidRPr="001503A1">
        <w:rPr>
          <w:rFonts w:ascii="Times New Roman" w:eastAsia="黑体" w:hAnsi="Times New Roman" w:cs="Times New Roman"/>
          <w:b/>
          <w:bCs/>
          <w:color w:val="000000" w:themeColor="text1"/>
          <w:szCs w:val="21"/>
        </w:rPr>
        <w:t>缓解内生性问题</w:t>
      </w:r>
      <w:r w:rsidR="000D6B28" w:rsidRPr="001503A1">
        <w:rPr>
          <w:rFonts w:ascii="Times New Roman" w:eastAsia="黑体" w:hAnsi="Times New Roman" w:cs="Times New Roman" w:hint="eastAsia"/>
          <w:b/>
          <w:bCs/>
          <w:color w:val="000000" w:themeColor="text1"/>
          <w:szCs w:val="21"/>
        </w:rPr>
        <w:t>检验结果</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2285"/>
        <w:gridCol w:w="1399"/>
        <w:gridCol w:w="1027"/>
        <w:gridCol w:w="1027"/>
        <w:gridCol w:w="1560"/>
        <w:gridCol w:w="1008"/>
      </w:tblGrid>
      <w:tr w:rsidR="001503A1" w:rsidRPr="001503A1" w14:paraId="7E3FE3C1" w14:textId="77777777" w:rsidTr="002164A7">
        <w:tc>
          <w:tcPr>
            <w:tcW w:w="1376" w:type="pct"/>
            <w:vMerge w:val="restart"/>
            <w:vAlign w:val="center"/>
          </w:tcPr>
          <w:p w14:paraId="302E152C"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变量</w:t>
            </w:r>
          </w:p>
        </w:tc>
        <w:tc>
          <w:tcPr>
            <w:tcW w:w="842" w:type="pct"/>
            <w:vAlign w:val="center"/>
          </w:tcPr>
          <w:p w14:paraId="72EF0F73"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控制事前趋势</w:t>
            </w:r>
          </w:p>
        </w:tc>
        <w:tc>
          <w:tcPr>
            <w:tcW w:w="1235" w:type="pct"/>
            <w:gridSpan w:val="2"/>
            <w:vAlign w:val="center"/>
          </w:tcPr>
          <w:p w14:paraId="5830A025"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控制时间趋势</w:t>
            </w:r>
          </w:p>
        </w:tc>
        <w:tc>
          <w:tcPr>
            <w:tcW w:w="939" w:type="pct"/>
            <w:vAlign w:val="center"/>
          </w:tcPr>
          <w:p w14:paraId="5C7C7E89"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Heckman</w:t>
            </w:r>
            <w:r w:rsidRPr="001503A1">
              <w:rPr>
                <w:rFonts w:ascii="Times New Roman" w:eastAsia="宋体" w:hAnsi="Times New Roman" w:cs="Times New Roman"/>
                <w:color w:val="000000" w:themeColor="text1"/>
                <w:kern w:val="0"/>
                <w:sz w:val="18"/>
                <w:szCs w:val="18"/>
              </w:rPr>
              <w:t>两阶段</w:t>
            </w:r>
          </w:p>
        </w:tc>
        <w:tc>
          <w:tcPr>
            <w:tcW w:w="608" w:type="pct"/>
            <w:vAlign w:val="center"/>
          </w:tcPr>
          <w:p w14:paraId="2F0F3878"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混合匹配</w:t>
            </w:r>
          </w:p>
        </w:tc>
      </w:tr>
      <w:tr w:rsidR="001503A1" w:rsidRPr="001503A1" w14:paraId="62CF352F" w14:textId="77777777" w:rsidTr="002164A7">
        <w:tc>
          <w:tcPr>
            <w:tcW w:w="1376" w:type="pct"/>
            <w:vMerge/>
            <w:vAlign w:val="center"/>
          </w:tcPr>
          <w:p w14:paraId="74115F6B"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p>
        </w:tc>
        <w:tc>
          <w:tcPr>
            <w:tcW w:w="842" w:type="pct"/>
            <w:vAlign w:val="center"/>
          </w:tcPr>
          <w:p w14:paraId="598672E5"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(1)</w:t>
            </w:r>
          </w:p>
        </w:tc>
        <w:tc>
          <w:tcPr>
            <w:tcW w:w="618" w:type="pct"/>
            <w:vAlign w:val="center"/>
          </w:tcPr>
          <w:p w14:paraId="15F2B21B"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(2)</w:t>
            </w:r>
          </w:p>
        </w:tc>
        <w:tc>
          <w:tcPr>
            <w:tcW w:w="618" w:type="pct"/>
            <w:vAlign w:val="center"/>
          </w:tcPr>
          <w:p w14:paraId="1AA77367"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(3)</w:t>
            </w:r>
          </w:p>
        </w:tc>
        <w:tc>
          <w:tcPr>
            <w:tcW w:w="939" w:type="pct"/>
            <w:vAlign w:val="center"/>
          </w:tcPr>
          <w:p w14:paraId="2502F5BC"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(4)</w:t>
            </w:r>
          </w:p>
        </w:tc>
        <w:tc>
          <w:tcPr>
            <w:tcW w:w="608" w:type="pct"/>
            <w:vAlign w:val="center"/>
          </w:tcPr>
          <w:p w14:paraId="7D99F36D"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(5)</w:t>
            </w:r>
          </w:p>
        </w:tc>
      </w:tr>
      <w:tr w:rsidR="001503A1" w:rsidRPr="001503A1" w14:paraId="2D19C88E" w14:textId="77777777" w:rsidTr="002164A7">
        <w:tc>
          <w:tcPr>
            <w:tcW w:w="1376" w:type="pct"/>
            <w:vMerge/>
            <w:tcBorders>
              <w:bottom w:val="single" w:sz="4" w:space="0" w:color="auto"/>
            </w:tcBorders>
            <w:vAlign w:val="center"/>
          </w:tcPr>
          <w:p w14:paraId="423831D4" w14:textId="77777777" w:rsidR="002164A7" w:rsidRPr="001503A1" w:rsidRDefault="002164A7" w:rsidP="00746B28">
            <w:pPr>
              <w:autoSpaceDE w:val="0"/>
              <w:autoSpaceDN w:val="0"/>
              <w:contextualSpacing/>
              <w:jc w:val="center"/>
              <w:rPr>
                <w:rFonts w:ascii="Times New Roman" w:eastAsia="宋体" w:hAnsi="Times New Roman" w:cs="Times New Roman"/>
                <w:color w:val="000000" w:themeColor="text1"/>
                <w:kern w:val="0"/>
                <w:sz w:val="18"/>
                <w:szCs w:val="18"/>
              </w:rPr>
            </w:pPr>
          </w:p>
        </w:tc>
        <w:tc>
          <w:tcPr>
            <w:tcW w:w="842" w:type="pct"/>
            <w:tcBorders>
              <w:bottom w:val="single" w:sz="4" w:space="0" w:color="auto"/>
            </w:tcBorders>
            <w:vAlign w:val="center"/>
          </w:tcPr>
          <w:p w14:paraId="00DC5F1F" w14:textId="77777777" w:rsidR="002164A7" w:rsidRPr="001503A1" w:rsidRDefault="002164A7"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618" w:type="pct"/>
            <w:tcBorders>
              <w:bottom w:val="single" w:sz="4" w:space="0" w:color="auto"/>
            </w:tcBorders>
            <w:vAlign w:val="center"/>
          </w:tcPr>
          <w:p w14:paraId="2139D838" w14:textId="77777777" w:rsidR="002164A7" w:rsidRPr="001503A1" w:rsidRDefault="002164A7"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618" w:type="pct"/>
            <w:tcBorders>
              <w:bottom w:val="single" w:sz="4" w:space="0" w:color="auto"/>
            </w:tcBorders>
            <w:vAlign w:val="center"/>
          </w:tcPr>
          <w:p w14:paraId="43289969" w14:textId="77777777" w:rsidR="002164A7" w:rsidRPr="001503A1" w:rsidRDefault="002164A7"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939" w:type="pct"/>
            <w:tcBorders>
              <w:bottom w:val="single" w:sz="4" w:space="0" w:color="auto"/>
            </w:tcBorders>
            <w:vAlign w:val="center"/>
          </w:tcPr>
          <w:p w14:paraId="079237EA" w14:textId="77777777" w:rsidR="002164A7" w:rsidRPr="001503A1" w:rsidRDefault="002164A7"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608" w:type="pct"/>
            <w:tcBorders>
              <w:bottom w:val="single" w:sz="4" w:space="0" w:color="auto"/>
            </w:tcBorders>
            <w:vAlign w:val="center"/>
          </w:tcPr>
          <w:p w14:paraId="0F77B0E0" w14:textId="77777777" w:rsidR="002164A7" w:rsidRPr="001503A1" w:rsidRDefault="002164A7"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r>
      <w:tr w:rsidR="001503A1" w:rsidRPr="001503A1" w14:paraId="6F261658" w14:textId="77777777" w:rsidTr="002164A7">
        <w:tc>
          <w:tcPr>
            <w:tcW w:w="1376" w:type="pct"/>
            <w:vMerge w:val="restart"/>
            <w:tcBorders>
              <w:bottom w:val="nil"/>
            </w:tcBorders>
            <w:vAlign w:val="center"/>
          </w:tcPr>
          <w:p w14:paraId="512FC1A2" w14:textId="77777777" w:rsidR="002164A7" w:rsidRPr="001503A1" w:rsidRDefault="002164A7" w:rsidP="00746B28">
            <w:pPr>
              <w:autoSpaceDE w:val="0"/>
              <w:autoSpaceDN w:val="0"/>
              <w:contextualSpacing/>
              <w:jc w:val="center"/>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Transfer</w:t>
            </w:r>
          </w:p>
        </w:tc>
        <w:tc>
          <w:tcPr>
            <w:tcW w:w="842" w:type="pct"/>
            <w:tcBorders>
              <w:top w:val="single" w:sz="4" w:space="0" w:color="auto"/>
              <w:left w:val="nil"/>
              <w:bottom w:val="nil"/>
              <w:right w:val="single" w:sz="4" w:space="0" w:color="auto"/>
            </w:tcBorders>
          </w:tcPr>
          <w:p w14:paraId="302439B8"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-0.0054</w:t>
            </w:r>
            <w:r w:rsidRPr="001503A1">
              <w:rPr>
                <w:rFonts w:ascii="Times New Roman" w:eastAsia="楷体" w:hAnsi="Times New Roman" w:cs="Times New Roman"/>
                <w:color w:val="000000" w:themeColor="text1"/>
                <w:kern w:val="0"/>
                <w:sz w:val="18"/>
                <w:szCs w:val="18"/>
                <w:vertAlign w:val="superscript"/>
              </w:rPr>
              <w:t>***</w:t>
            </w:r>
          </w:p>
        </w:tc>
        <w:tc>
          <w:tcPr>
            <w:tcW w:w="618" w:type="pct"/>
            <w:tcBorders>
              <w:top w:val="single" w:sz="4" w:space="0" w:color="auto"/>
              <w:left w:val="single" w:sz="4" w:space="0" w:color="auto"/>
              <w:bottom w:val="nil"/>
              <w:right w:val="single" w:sz="4" w:space="0" w:color="auto"/>
            </w:tcBorders>
          </w:tcPr>
          <w:p w14:paraId="78C727D3"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-0.0054</w:t>
            </w:r>
            <w:r w:rsidRPr="001503A1">
              <w:rPr>
                <w:rFonts w:ascii="Times New Roman" w:eastAsia="楷体" w:hAnsi="Times New Roman" w:cs="Times New Roman"/>
                <w:color w:val="000000" w:themeColor="text1"/>
                <w:kern w:val="0"/>
                <w:sz w:val="18"/>
                <w:szCs w:val="18"/>
                <w:vertAlign w:val="superscript"/>
              </w:rPr>
              <w:t>***</w:t>
            </w:r>
          </w:p>
        </w:tc>
        <w:tc>
          <w:tcPr>
            <w:tcW w:w="618" w:type="pct"/>
            <w:tcBorders>
              <w:top w:val="single" w:sz="4" w:space="0" w:color="auto"/>
              <w:left w:val="single" w:sz="4" w:space="0" w:color="auto"/>
              <w:bottom w:val="nil"/>
              <w:right w:val="single" w:sz="4" w:space="0" w:color="auto"/>
            </w:tcBorders>
          </w:tcPr>
          <w:p w14:paraId="0B4FBDA5"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-0.0054</w:t>
            </w:r>
            <w:r w:rsidRPr="001503A1">
              <w:rPr>
                <w:rFonts w:ascii="Times New Roman" w:eastAsia="楷体" w:hAnsi="Times New Roman" w:cs="Times New Roman"/>
                <w:color w:val="000000" w:themeColor="text1"/>
                <w:kern w:val="0"/>
                <w:sz w:val="18"/>
                <w:szCs w:val="18"/>
                <w:vertAlign w:val="superscript"/>
              </w:rPr>
              <w:t>***</w:t>
            </w:r>
          </w:p>
        </w:tc>
        <w:tc>
          <w:tcPr>
            <w:tcW w:w="939" w:type="pct"/>
            <w:tcBorders>
              <w:top w:val="single" w:sz="4" w:space="0" w:color="auto"/>
              <w:left w:val="single" w:sz="4" w:space="0" w:color="auto"/>
              <w:bottom w:val="nil"/>
              <w:right w:val="single" w:sz="4" w:space="0" w:color="auto"/>
            </w:tcBorders>
          </w:tcPr>
          <w:p w14:paraId="0D2B1D50"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-0.0052</w:t>
            </w:r>
            <w:r w:rsidRPr="001503A1">
              <w:rPr>
                <w:rFonts w:ascii="Times New Roman" w:eastAsia="楷体" w:hAnsi="Times New Roman" w:cs="Times New Roman"/>
                <w:color w:val="000000" w:themeColor="text1"/>
                <w:kern w:val="0"/>
                <w:sz w:val="18"/>
                <w:szCs w:val="18"/>
                <w:vertAlign w:val="superscript"/>
              </w:rPr>
              <w:t>***</w:t>
            </w:r>
          </w:p>
        </w:tc>
        <w:tc>
          <w:tcPr>
            <w:tcW w:w="608" w:type="pct"/>
            <w:tcBorders>
              <w:top w:val="single" w:sz="4" w:space="0" w:color="auto"/>
              <w:left w:val="single" w:sz="4" w:space="0" w:color="auto"/>
              <w:bottom w:val="nil"/>
              <w:right w:val="nil"/>
            </w:tcBorders>
          </w:tcPr>
          <w:p w14:paraId="4A104CA5" w14:textId="576D4B01"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-0.0046</w:t>
            </w:r>
            <w:r w:rsidRPr="001503A1">
              <w:rPr>
                <w:rFonts w:ascii="Times New Roman" w:eastAsia="楷体" w:hAnsi="Times New Roman" w:cs="Times New Roman"/>
                <w:color w:val="000000" w:themeColor="text1"/>
                <w:kern w:val="0"/>
                <w:sz w:val="18"/>
                <w:szCs w:val="18"/>
                <w:vertAlign w:val="superscript"/>
              </w:rPr>
              <w:t>**</w:t>
            </w:r>
          </w:p>
        </w:tc>
      </w:tr>
      <w:tr w:rsidR="001503A1" w:rsidRPr="001503A1" w14:paraId="7B134B28" w14:textId="77777777" w:rsidTr="002164A7">
        <w:tc>
          <w:tcPr>
            <w:tcW w:w="1376" w:type="pct"/>
            <w:vMerge/>
            <w:tcBorders>
              <w:top w:val="nil"/>
              <w:bottom w:val="nil"/>
            </w:tcBorders>
            <w:vAlign w:val="center"/>
          </w:tcPr>
          <w:p w14:paraId="23340F01"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p>
        </w:tc>
        <w:tc>
          <w:tcPr>
            <w:tcW w:w="842" w:type="pct"/>
            <w:tcBorders>
              <w:top w:val="nil"/>
              <w:left w:val="nil"/>
              <w:bottom w:val="nil"/>
              <w:right w:val="single" w:sz="4" w:space="0" w:color="auto"/>
            </w:tcBorders>
          </w:tcPr>
          <w:p w14:paraId="1F305588"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(0.0018)</w:t>
            </w:r>
          </w:p>
        </w:tc>
        <w:tc>
          <w:tcPr>
            <w:tcW w:w="618" w:type="pct"/>
            <w:tcBorders>
              <w:top w:val="nil"/>
              <w:left w:val="single" w:sz="4" w:space="0" w:color="auto"/>
              <w:bottom w:val="nil"/>
              <w:right w:val="single" w:sz="4" w:space="0" w:color="auto"/>
            </w:tcBorders>
          </w:tcPr>
          <w:p w14:paraId="1C4E16C7"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(0.0018)</w:t>
            </w:r>
          </w:p>
        </w:tc>
        <w:tc>
          <w:tcPr>
            <w:tcW w:w="618" w:type="pct"/>
            <w:tcBorders>
              <w:top w:val="nil"/>
              <w:left w:val="single" w:sz="4" w:space="0" w:color="auto"/>
              <w:bottom w:val="nil"/>
              <w:right w:val="single" w:sz="4" w:space="0" w:color="auto"/>
            </w:tcBorders>
          </w:tcPr>
          <w:p w14:paraId="7ACC97FF"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(0.0018)</w:t>
            </w:r>
          </w:p>
        </w:tc>
        <w:tc>
          <w:tcPr>
            <w:tcW w:w="939" w:type="pct"/>
            <w:tcBorders>
              <w:top w:val="nil"/>
              <w:left w:val="single" w:sz="4" w:space="0" w:color="auto"/>
              <w:bottom w:val="nil"/>
              <w:right w:val="single" w:sz="4" w:space="0" w:color="auto"/>
            </w:tcBorders>
          </w:tcPr>
          <w:p w14:paraId="15F00B53"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(0.0018)</w:t>
            </w:r>
          </w:p>
        </w:tc>
        <w:tc>
          <w:tcPr>
            <w:tcW w:w="608" w:type="pct"/>
            <w:tcBorders>
              <w:top w:val="nil"/>
              <w:left w:val="single" w:sz="4" w:space="0" w:color="auto"/>
              <w:bottom w:val="nil"/>
              <w:right w:val="nil"/>
            </w:tcBorders>
          </w:tcPr>
          <w:p w14:paraId="34EF2208"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(0.0020)</w:t>
            </w:r>
          </w:p>
        </w:tc>
      </w:tr>
      <w:tr w:rsidR="001503A1" w:rsidRPr="001503A1" w14:paraId="7D9489D2" w14:textId="77777777" w:rsidTr="002164A7">
        <w:tc>
          <w:tcPr>
            <w:tcW w:w="1376" w:type="pct"/>
            <w:tcBorders>
              <w:top w:val="nil"/>
              <w:bottom w:val="nil"/>
            </w:tcBorders>
            <w:vAlign w:val="center"/>
          </w:tcPr>
          <w:p w14:paraId="2E372F20"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p>
        </w:tc>
        <w:tc>
          <w:tcPr>
            <w:tcW w:w="842" w:type="pct"/>
            <w:tcBorders>
              <w:top w:val="nil"/>
              <w:bottom w:val="nil"/>
            </w:tcBorders>
            <w:vAlign w:val="center"/>
          </w:tcPr>
          <w:p w14:paraId="1617A031"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18" w:type="pct"/>
            <w:tcBorders>
              <w:top w:val="nil"/>
              <w:bottom w:val="nil"/>
            </w:tcBorders>
            <w:vAlign w:val="center"/>
          </w:tcPr>
          <w:p w14:paraId="236928CE"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18" w:type="pct"/>
            <w:tcBorders>
              <w:top w:val="nil"/>
              <w:bottom w:val="nil"/>
            </w:tcBorders>
            <w:vAlign w:val="center"/>
          </w:tcPr>
          <w:p w14:paraId="144F38BC"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939" w:type="pct"/>
            <w:tcBorders>
              <w:top w:val="nil"/>
              <w:bottom w:val="nil"/>
            </w:tcBorders>
            <w:vAlign w:val="center"/>
          </w:tcPr>
          <w:p w14:paraId="3E404C3A"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08" w:type="pct"/>
            <w:tcBorders>
              <w:top w:val="nil"/>
              <w:bottom w:val="nil"/>
            </w:tcBorders>
            <w:vAlign w:val="center"/>
          </w:tcPr>
          <w:p w14:paraId="43B9354C"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64F0E6AC" w14:textId="77777777" w:rsidTr="002164A7">
        <w:tc>
          <w:tcPr>
            <w:tcW w:w="1376" w:type="pct"/>
            <w:tcBorders>
              <w:top w:val="nil"/>
              <w:bottom w:val="nil"/>
            </w:tcBorders>
            <w:vAlign w:val="center"/>
          </w:tcPr>
          <w:p w14:paraId="46782D15"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事前控制变量</w:t>
            </w:r>
            <w:r w:rsidRPr="001503A1">
              <w:rPr>
                <w:rFonts w:ascii="Times New Roman" w:eastAsia="楷体" w:hAnsi="Times New Roman" w:cs="Times New Roman"/>
                <w:color w:val="000000" w:themeColor="text1"/>
                <w:kern w:val="0"/>
                <w:sz w:val="18"/>
                <w:szCs w:val="18"/>
              </w:rPr>
              <w:t>×</w:t>
            </w:r>
            <w:r w:rsidRPr="001503A1">
              <w:rPr>
                <w:rFonts w:ascii="Times New Roman" w:eastAsia="楷体" w:hAnsi="Times New Roman" w:cs="Times New Roman"/>
                <w:color w:val="000000" w:themeColor="text1"/>
                <w:kern w:val="0"/>
                <w:sz w:val="18"/>
                <w:szCs w:val="18"/>
              </w:rPr>
              <w:t>时间趋势</w:t>
            </w:r>
          </w:p>
        </w:tc>
        <w:tc>
          <w:tcPr>
            <w:tcW w:w="842" w:type="pct"/>
            <w:tcBorders>
              <w:top w:val="nil"/>
              <w:bottom w:val="nil"/>
            </w:tcBorders>
            <w:vAlign w:val="center"/>
          </w:tcPr>
          <w:p w14:paraId="0B6658C5"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18" w:type="pct"/>
            <w:tcBorders>
              <w:top w:val="nil"/>
              <w:bottom w:val="nil"/>
            </w:tcBorders>
            <w:vAlign w:val="center"/>
          </w:tcPr>
          <w:p w14:paraId="706844BF"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18" w:type="pct"/>
            <w:tcBorders>
              <w:top w:val="nil"/>
              <w:bottom w:val="nil"/>
            </w:tcBorders>
            <w:vAlign w:val="center"/>
          </w:tcPr>
          <w:p w14:paraId="6B2242A7"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939" w:type="pct"/>
            <w:tcBorders>
              <w:top w:val="nil"/>
              <w:bottom w:val="nil"/>
            </w:tcBorders>
            <w:vAlign w:val="center"/>
          </w:tcPr>
          <w:p w14:paraId="1C63F6D5"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08" w:type="pct"/>
            <w:tcBorders>
              <w:top w:val="nil"/>
              <w:bottom w:val="nil"/>
            </w:tcBorders>
            <w:vAlign w:val="center"/>
          </w:tcPr>
          <w:p w14:paraId="42010E17"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r>
      <w:tr w:rsidR="001503A1" w:rsidRPr="001503A1" w14:paraId="4638F014" w14:textId="77777777" w:rsidTr="002164A7">
        <w:tc>
          <w:tcPr>
            <w:tcW w:w="1376" w:type="pct"/>
            <w:tcBorders>
              <w:top w:val="nil"/>
              <w:bottom w:val="nil"/>
            </w:tcBorders>
            <w:vAlign w:val="center"/>
          </w:tcPr>
          <w:p w14:paraId="08CE5284"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r w:rsidRPr="001503A1">
              <w:rPr>
                <w:rFonts w:ascii="Times New Roman" w:eastAsia="楷体" w:hAnsi="Times New Roman" w:cs="Times New Roman"/>
                <w:color w:val="000000" w:themeColor="text1"/>
                <w:kern w:val="0"/>
                <w:sz w:val="18"/>
                <w:szCs w:val="18"/>
              </w:rPr>
              <w:t>×</w:t>
            </w:r>
            <w:r w:rsidRPr="001503A1">
              <w:rPr>
                <w:rFonts w:ascii="Times New Roman" w:eastAsia="楷体" w:hAnsi="Times New Roman" w:cs="Times New Roman"/>
                <w:color w:val="000000" w:themeColor="text1"/>
                <w:sz w:val="18"/>
                <w:szCs w:val="18"/>
                <w14:ligatures w14:val="none"/>
              </w:rPr>
              <w:t>时间趋势</w:t>
            </w:r>
          </w:p>
        </w:tc>
        <w:tc>
          <w:tcPr>
            <w:tcW w:w="842" w:type="pct"/>
            <w:tcBorders>
              <w:top w:val="nil"/>
              <w:bottom w:val="nil"/>
            </w:tcBorders>
          </w:tcPr>
          <w:p w14:paraId="6E40595B"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18" w:type="pct"/>
            <w:tcBorders>
              <w:top w:val="nil"/>
              <w:bottom w:val="nil"/>
            </w:tcBorders>
          </w:tcPr>
          <w:p w14:paraId="35B0FC3C"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18" w:type="pct"/>
            <w:tcBorders>
              <w:top w:val="nil"/>
              <w:bottom w:val="nil"/>
            </w:tcBorders>
          </w:tcPr>
          <w:p w14:paraId="61C94D28"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939" w:type="pct"/>
            <w:tcBorders>
              <w:top w:val="nil"/>
              <w:bottom w:val="nil"/>
            </w:tcBorders>
          </w:tcPr>
          <w:p w14:paraId="02A1DCB0"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08" w:type="pct"/>
            <w:tcBorders>
              <w:top w:val="nil"/>
              <w:bottom w:val="nil"/>
            </w:tcBorders>
          </w:tcPr>
          <w:p w14:paraId="169C07A9"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sz w:val="18"/>
                <w:szCs w:val="18"/>
              </w:rPr>
            </w:pPr>
            <w:r w:rsidRPr="001503A1">
              <w:rPr>
                <w:rFonts w:ascii="Times New Roman" w:eastAsia="楷体" w:hAnsi="Times New Roman" w:cs="Times New Roman"/>
                <w:color w:val="000000" w:themeColor="text1"/>
                <w:kern w:val="0"/>
                <w:sz w:val="18"/>
                <w:szCs w:val="18"/>
              </w:rPr>
              <w:t>未控制</w:t>
            </w:r>
          </w:p>
        </w:tc>
      </w:tr>
      <w:tr w:rsidR="001503A1" w:rsidRPr="001503A1" w14:paraId="3D1C0605" w14:textId="77777777" w:rsidTr="002164A7">
        <w:tc>
          <w:tcPr>
            <w:tcW w:w="1376" w:type="pct"/>
            <w:tcBorders>
              <w:top w:val="nil"/>
              <w:bottom w:val="nil"/>
            </w:tcBorders>
            <w:vAlign w:val="center"/>
          </w:tcPr>
          <w:p w14:paraId="115EF76D"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r w:rsidRPr="001503A1">
              <w:rPr>
                <w:rFonts w:ascii="Times New Roman" w:eastAsia="楷体" w:hAnsi="Times New Roman" w:cs="Times New Roman"/>
                <w:color w:val="000000" w:themeColor="text1"/>
                <w:kern w:val="0"/>
                <w:sz w:val="18"/>
                <w:szCs w:val="18"/>
              </w:rPr>
              <w:t>×</w:t>
            </w:r>
            <w:r w:rsidRPr="001503A1">
              <w:rPr>
                <w:rFonts w:ascii="Times New Roman" w:eastAsia="楷体" w:hAnsi="Times New Roman" w:cs="Times New Roman"/>
                <w:color w:val="000000" w:themeColor="text1"/>
                <w:sz w:val="18"/>
                <w:szCs w:val="18"/>
                <w14:ligatures w14:val="none"/>
              </w:rPr>
              <w:t>时间趋势</w:t>
            </w:r>
            <w:r w:rsidRPr="001503A1">
              <w:rPr>
                <w:rFonts w:ascii="Times New Roman" w:eastAsia="楷体" w:hAnsi="Times New Roman" w:cs="Times New Roman"/>
                <w:color w:val="000000" w:themeColor="text1"/>
                <w:kern w:val="0"/>
                <w:sz w:val="18"/>
                <w:szCs w:val="18"/>
                <w:vertAlign w:val="superscript"/>
              </w:rPr>
              <w:t>2</w:t>
            </w:r>
          </w:p>
        </w:tc>
        <w:tc>
          <w:tcPr>
            <w:tcW w:w="842" w:type="pct"/>
            <w:tcBorders>
              <w:top w:val="nil"/>
              <w:bottom w:val="nil"/>
            </w:tcBorders>
          </w:tcPr>
          <w:p w14:paraId="0346C101"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18" w:type="pct"/>
            <w:tcBorders>
              <w:top w:val="nil"/>
              <w:bottom w:val="nil"/>
            </w:tcBorders>
          </w:tcPr>
          <w:p w14:paraId="4C6703E0"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18" w:type="pct"/>
            <w:tcBorders>
              <w:top w:val="nil"/>
              <w:bottom w:val="nil"/>
            </w:tcBorders>
          </w:tcPr>
          <w:p w14:paraId="270C9147"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939" w:type="pct"/>
            <w:tcBorders>
              <w:top w:val="nil"/>
              <w:bottom w:val="nil"/>
            </w:tcBorders>
          </w:tcPr>
          <w:p w14:paraId="282E26AA"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08" w:type="pct"/>
            <w:tcBorders>
              <w:top w:val="nil"/>
              <w:bottom w:val="nil"/>
            </w:tcBorders>
          </w:tcPr>
          <w:p w14:paraId="0D8E0162"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sz w:val="18"/>
                <w:szCs w:val="18"/>
              </w:rPr>
            </w:pPr>
            <w:r w:rsidRPr="001503A1">
              <w:rPr>
                <w:rFonts w:ascii="Times New Roman" w:eastAsia="楷体" w:hAnsi="Times New Roman" w:cs="Times New Roman"/>
                <w:color w:val="000000" w:themeColor="text1"/>
                <w:kern w:val="0"/>
                <w:sz w:val="18"/>
                <w:szCs w:val="18"/>
              </w:rPr>
              <w:t>未控制</w:t>
            </w:r>
          </w:p>
        </w:tc>
      </w:tr>
      <w:tr w:rsidR="001503A1" w:rsidRPr="001503A1" w14:paraId="17D7CF9A" w14:textId="77777777" w:rsidTr="002164A7">
        <w:tc>
          <w:tcPr>
            <w:tcW w:w="1376" w:type="pct"/>
            <w:tcBorders>
              <w:top w:val="nil"/>
              <w:bottom w:val="nil"/>
            </w:tcBorders>
            <w:vAlign w:val="center"/>
          </w:tcPr>
          <w:p w14:paraId="771FB465"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r w:rsidRPr="001503A1">
              <w:rPr>
                <w:rFonts w:ascii="Times New Roman" w:eastAsia="楷体" w:hAnsi="Times New Roman" w:cs="Times New Roman"/>
                <w:color w:val="000000" w:themeColor="text1"/>
                <w:kern w:val="0"/>
                <w:sz w:val="18"/>
                <w:szCs w:val="18"/>
              </w:rPr>
              <w:t>×</w:t>
            </w:r>
            <w:r w:rsidRPr="001503A1">
              <w:rPr>
                <w:rFonts w:ascii="Times New Roman" w:eastAsia="楷体" w:hAnsi="Times New Roman" w:cs="Times New Roman"/>
                <w:color w:val="000000" w:themeColor="text1"/>
                <w:sz w:val="18"/>
                <w:szCs w:val="18"/>
                <w14:ligatures w14:val="none"/>
              </w:rPr>
              <w:t>时间趋势</w:t>
            </w:r>
            <w:r w:rsidRPr="001503A1">
              <w:rPr>
                <w:rFonts w:ascii="Times New Roman" w:eastAsia="楷体" w:hAnsi="Times New Roman" w:cs="Times New Roman"/>
                <w:color w:val="000000" w:themeColor="text1"/>
                <w:kern w:val="0"/>
                <w:sz w:val="18"/>
                <w:szCs w:val="18"/>
                <w:vertAlign w:val="superscript"/>
              </w:rPr>
              <w:t>3</w:t>
            </w:r>
          </w:p>
        </w:tc>
        <w:tc>
          <w:tcPr>
            <w:tcW w:w="842" w:type="pct"/>
            <w:tcBorders>
              <w:top w:val="nil"/>
              <w:bottom w:val="nil"/>
            </w:tcBorders>
          </w:tcPr>
          <w:p w14:paraId="16588AF1"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18" w:type="pct"/>
            <w:tcBorders>
              <w:top w:val="nil"/>
              <w:bottom w:val="nil"/>
            </w:tcBorders>
          </w:tcPr>
          <w:p w14:paraId="5DD709F4"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18" w:type="pct"/>
            <w:tcBorders>
              <w:top w:val="nil"/>
              <w:bottom w:val="nil"/>
            </w:tcBorders>
          </w:tcPr>
          <w:p w14:paraId="1DA5BDA5"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939" w:type="pct"/>
            <w:tcBorders>
              <w:top w:val="nil"/>
              <w:bottom w:val="nil"/>
            </w:tcBorders>
          </w:tcPr>
          <w:p w14:paraId="7A691AE9"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08" w:type="pct"/>
            <w:tcBorders>
              <w:top w:val="nil"/>
              <w:bottom w:val="nil"/>
            </w:tcBorders>
          </w:tcPr>
          <w:p w14:paraId="2D3A50C9"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sz w:val="18"/>
                <w:szCs w:val="18"/>
              </w:rPr>
            </w:pPr>
            <w:r w:rsidRPr="001503A1">
              <w:rPr>
                <w:rFonts w:ascii="Times New Roman" w:eastAsia="楷体" w:hAnsi="Times New Roman" w:cs="Times New Roman"/>
                <w:color w:val="000000" w:themeColor="text1"/>
                <w:kern w:val="0"/>
                <w:sz w:val="18"/>
                <w:szCs w:val="18"/>
              </w:rPr>
              <w:t>未控制</w:t>
            </w:r>
          </w:p>
        </w:tc>
      </w:tr>
      <w:tr w:rsidR="001503A1" w:rsidRPr="001503A1" w14:paraId="2FFA056B" w14:textId="77777777" w:rsidTr="002164A7">
        <w:tc>
          <w:tcPr>
            <w:tcW w:w="1376" w:type="pct"/>
            <w:tcBorders>
              <w:top w:val="nil"/>
              <w:bottom w:val="nil"/>
            </w:tcBorders>
            <w:vAlign w:val="center"/>
          </w:tcPr>
          <w:p w14:paraId="4D43F6F9"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r w:rsidRPr="001503A1">
              <w:rPr>
                <w:rFonts w:ascii="Times New Roman" w:eastAsia="楷体" w:hAnsi="Times New Roman" w:cs="Times New Roman"/>
                <w:color w:val="000000" w:themeColor="text1"/>
                <w:kern w:val="0"/>
                <w:sz w:val="18"/>
                <w:szCs w:val="18"/>
              </w:rPr>
              <w:t>×</w:t>
            </w:r>
            <w:r w:rsidRPr="001503A1">
              <w:rPr>
                <w:rFonts w:ascii="Times New Roman" w:eastAsia="楷体" w:hAnsi="Times New Roman" w:cs="Times New Roman"/>
                <w:color w:val="000000" w:themeColor="text1"/>
                <w:sz w:val="18"/>
                <w:szCs w:val="18"/>
                <w14:ligatures w14:val="none"/>
              </w:rPr>
              <w:t>时间虚拟变量</w:t>
            </w:r>
          </w:p>
        </w:tc>
        <w:tc>
          <w:tcPr>
            <w:tcW w:w="842" w:type="pct"/>
            <w:tcBorders>
              <w:top w:val="nil"/>
              <w:bottom w:val="nil"/>
            </w:tcBorders>
          </w:tcPr>
          <w:p w14:paraId="436698DB"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18" w:type="pct"/>
            <w:tcBorders>
              <w:top w:val="nil"/>
              <w:bottom w:val="nil"/>
            </w:tcBorders>
            <w:vAlign w:val="center"/>
          </w:tcPr>
          <w:p w14:paraId="5202E0B3"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18" w:type="pct"/>
            <w:tcBorders>
              <w:top w:val="nil"/>
              <w:bottom w:val="nil"/>
            </w:tcBorders>
            <w:vAlign w:val="center"/>
          </w:tcPr>
          <w:p w14:paraId="53731662"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939" w:type="pct"/>
            <w:tcBorders>
              <w:top w:val="nil"/>
              <w:bottom w:val="nil"/>
            </w:tcBorders>
          </w:tcPr>
          <w:p w14:paraId="012E81E6"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608" w:type="pct"/>
            <w:tcBorders>
              <w:top w:val="nil"/>
              <w:bottom w:val="nil"/>
            </w:tcBorders>
          </w:tcPr>
          <w:p w14:paraId="703A154A"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sz w:val="18"/>
                <w:szCs w:val="18"/>
              </w:rPr>
            </w:pPr>
            <w:r w:rsidRPr="001503A1">
              <w:rPr>
                <w:rFonts w:ascii="Times New Roman" w:eastAsia="楷体" w:hAnsi="Times New Roman" w:cs="Times New Roman"/>
                <w:color w:val="000000" w:themeColor="text1"/>
                <w:kern w:val="0"/>
                <w:sz w:val="18"/>
                <w:szCs w:val="18"/>
              </w:rPr>
              <w:t>未控制</w:t>
            </w:r>
          </w:p>
        </w:tc>
      </w:tr>
      <w:tr w:rsidR="001503A1" w:rsidRPr="001503A1" w14:paraId="0AE5F1B0" w14:textId="77777777" w:rsidTr="002164A7">
        <w:tc>
          <w:tcPr>
            <w:tcW w:w="1376" w:type="pct"/>
            <w:tcBorders>
              <w:top w:val="nil"/>
              <w:bottom w:val="nil"/>
            </w:tcBorders>
            <w:vAlign w:val="center"/>
          </w:tcPr>
          <w:p w14:paraId="25AEA3AD"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个体效应</w:t>
            </w:r>
          </w:p>
        </w:tc>
        <w:tc>
          <w:tcPr>
            <w:tcW w:w="842" w:type="pct"/>
            <w:tcBorders>
              <w:top w:val="nil"/>
              <w:bottom w:val="nil"/>
            </w:tcBorders>
          </w:tcPr>
          <w:p w14:paraId="37C9FA77"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18" w:type="pct"/>
            <w:tcBorders>
              <w:top w:val="nil"/>
              <w:bottom w:val="nil"/>
            </w:tcBorders>
          </w:tcPr>
          <w:p w14:paraId="5A9A802B"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18" w:type="pct"/>
            <w:tcBorders>
              <w:top w:val="nil"/>
              <w:bottom w:val="nil"/>
            </w:tcBorders>
          </w:tcPr>
          <w:p w14:paraId="7433E2C3"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939" w:type="pct"/>
            <w:tcBorders>
              <w:top w:val="nil"/>
              <w:bottom w:val="nil"/>
            </w:tcBorders>
          </w:tcPr>
          <w:p w14:paraId="058F3753"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08" w:type="pct"/>
            <w:tcBorders>
              <w:top w:val="nil"/>
              <w:bottom w:val="nil"/>
            </w:tcBorders>
          </w:tcPr>
          <w:p w14:paraId="624A0E97"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0D1496C3" w14:textId="77777777" w:rsidTr="002164A7">
        <w:tc>
          <w:tcPr>
            <w:tcW w:w="1376" w:type="pct"/>
            <w:tcBorders>
              <w:top w:val="nil"/>
              <w:bottom w:val="single" w:sz="4" w:space="0" w:color="auto"/>
            </w:tcBorders>
            <w:vAlign w:val="center"/>
          </w:tcPr>
          <w:p w14:paraId="3275915B"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时间效应</w:t>
            </w:r>
          </w:p>
        </w:tc>
        <w:tc>
          <w:tcPr>
            <w:tcW w:w="842" w:type="pct"/>
            <w:tcBorders>
              <w:top w:val="nil"/>
              <w:bottom w:val="single" w:sz="4" w:space="0" w:color="auto"/>
            </w:tcBorders>
          </w:tcPr>
          <w:p w14:paraId="63560E2C"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18" w:type="pct"/>
            <w:tcBorders>
              <w:top w:val="nil"/>
              <w:bottom w:val="single" w:sz="4" w:space="0" w:color="auto"/>
            </w:tcBorders>
          </w:tcPr>
          <w:p w14:paraId="776A9E13"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18" w:type="pct"/>
            <w:tcBorders>
              <w:top w:val="nil"/>
              <w:bottom w:val="single" w:sz="4" w:space="0" w:color="auto"/>
            </w:tcBorders>
          </w:tcPr>
          <w:p w14:paraId="503F34EA"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939" w:type="pct"/>
            <w:tcBorders>
              <w:top w:val="nil"/>
              <w:bottom w:val="single" w:sz="4" w:space="0" w:color="auto"/>
            </w:tcBorders>
          </w:tcPr>
          <w:p w14:paraId="23DDD225"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608" w:type="pct"/>
            <w:tcBorders>
              <w:top w:val="nil"/>
              <w:bottom w:val="single" w:sz="4" w:space="0" w:color="auto"/>
            </w:tcBorders>
          </w:tcPr>
          <w:p w14:paraId="0FD3A6D1"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06ED3DAD" w14:textId="77777777" w:rsidTr="002164A7">
        <w:tc>
          <w:tcPr>
            <w:tcW w:w="1376" w:type="pct"/>
            <w:tcBorders>
              <w:top w:val="single" w:sz="4" w:space="0" w:color="auto"/>
              <w:bottom w:val="nil"/>
            </w:tcBorders>
            <w:vAlign w:val="center"/>
          </w:tcPr>
          <w:p w14:paraId="69E88117"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观测值</w:t>
            </w:r>
          </w:p>
        </w:tc>
        <w:tc>
          <w:tcPr>
            <w:tcW w:w="842" w:type="pct"/>
            <w:tcBorders>
              <w:top w:val="single" w:sz="4" w:space="0" w:color="auto"/>
              <w:left w:val="nil"/>
              <w:bottom w:val="nil"/>
              <w:right w:val="single" w:sz="4" w:space="0" w:color="auto"/>
            </w:tcBorders>
          </w:tcPr>
          <w:p w14:paraId="17AD4FC9"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618" w:type="pct"/>
            <w:tcBorders>
              <w:top w:val="single" w:sz="4" w:space="0" w:color="auto"/>
              <w:left w:val="single" w:sz="4" w:space="0" w:color="auto"/>
              <w:bottom w:val="nil"/>
              <w:right w:val="single" w:sz="4" w:space="0" w:color="auto"/>
            </w:tcBorders>
          </w:tcPr>
          <w:p w14:paraId="6EDA923B"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618" w:type="pct"/>
            <w:tcBorders>
              <w:top w:val="single" w:sz="4" w:space="0" w:color="auto"/>
              <w:left w:val="single" w:sz="4" w:space="0" w:color="auto"/>
              <w:bottom w:val="nil"/>
              <w:right w:val="single" w:sz="4" w:space="0" w:color="auto"/>
            </w:tcBorders>
          </w:tcPr>
          <w:p w14:paraId="5228D4D3"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939" w:type="pct"/>
            <w:tcBorders>
              <w:top w:val="single" w:sz="4" w:space="0" w:color="auto"/>
              <w:left w:val="single" w:sz="4" w:space="0" w:color="auto"/>
              <w:bottom w:val="nil"/>
              <w:right w:val="single" w:sz="4" w:space="0" w:color="auto"/>
            </w:tcBorders>
          </w:tcPr>
          <w:p w14:paraId="03797201"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608" w:type="pct"/>
            <w:tcBorders>
              <w:top w:val="single" w:sz="4" w:space="0" w:color="auto"/>
              <w:left w:val="single" w:sz="4" w:space="0" w:color="auto"/>
              <w:bottom w:val="nil"/>
              <w:right w:val="nil"/>
            </w:tcBorders>
          </w:tcPr>
          <w:p w14:paraId="6517518D"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8660</w:t>
            </w:r>
          </w:p>
        </w:tc>
      </w:tr>
      <w:tr w:rsidR="001503A1" w:rsidRPr="001503A1" w14:paraId="68A79F5B" w14:textId="77777777" w:rsidTr="002164A7">
        <w:tc>
          <w:tcPr>
            <w:tcW w:w="1376" w:type="pct"/>
            <w:tcBorders>
              <w:top w:val="nil"/>
            </w:tcBorders>
            <w:vAlign w:val="center"/>
          </w:tcPr>
          <w:p w14:paraId="5663DBE8"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Adj.R</w:t>
            </w:r>
            <w:r w:rsidRPr="001503A1">
              <w:rPr>
                <w:rFonts w:ascii="Times New Roman" w:eastAsia="楷体" w:hAnsi="Times New Roman" w:cs="Times New Roman"/>
                <w:color w:val="000000" w:themeColor="text1"/>
                <w:kern w:val="0"/>
                <w:sz w:val="18"/>
                <w:szCs w:val="18"/>
                <w:vertAlign w:val="superscript"/>
              </w:rPr>
              <w:t>2</w:t>
            </w:r>
          </w:p>
        </w:tc>
        <w:tc>
          <w:tcPr>
            <w:tcW w:w="842" w:type="pct"/>
            <w:tcBorders>
              <w:top w:val="nil"/>
              <w:left w:val="nil"/>
              <w:bottom w:val="single" w:sz="4" w:space="0" w:color="auto"/>
              <w:right w:val="single" w:sz="4" w:space="0" w:color="auto"/>
            </w:tcBorders>
          </w:tcPr>
          <w:p w14:paraId="4FF826C0"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0.4110</w:t>
            </w:r>
          </w:p>
        </w:tc>
        <w:tc>
          <w:tcPr>
            <w:tcW w:w="618" w:type="pct"/>
            <w:tcBorders>
              <w:top w:val="nil"/>
              <w:left w:val="single" w:sz="4" w:space="0" w:color="auto"/>
              <w:bottom w:val="single" w:sz="4" w:space="0" w:color="auto"/>
              <w:right w:val="single" w:sz="4" w:space="0" w:color="auto"/>
            </w:tcBorders>
          </w:tcPr>
          <w:p w14:paraId="7DF37AEC"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0.4267</w:t>
            </w:r>
          </w:p>
        </w:tc>
        <w:tc>
          <w:tcPr>
            <w:tcW w:w="618" w:type="pct"/>
            <w:tcBorders>
              <w:top w:val="nil"/>
              <w:left w:val="single" w:sz="4" w:space="0" w:color="auto"/>
              <w:bottom w:val="single" w:sz="4" w:space="0" w:color="auto"/>
              <w:right w:val="single" w:sz="4" w:space="0" w:color="auto"/>
            </w:tcBorders>
          </w:tcPr>
          <w:p w14:paraId="00BFB483"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0.4275</w:t>
            </w:r>
          </w:p>
        </w:tc>
        <w:tc>
          <w:tcPr>
            <w:tcW w:w="939" w:type="pct"/>
            <w:tcBorders>
              <w:top w:val="nil"/>
              <w:left w:val="single" w:sz="4" w:space="0" w:color="auto"/>
              <w:bottom w:val="single" w:sz="4" w:space="0" w:color="auto"/>
              <w:right w:val="single" w:sz="4" w:space="0" w:color="auto"/>
            </w:tcBorders>
          </w:tcPr>
          <w:p w14:paraId="557CB3F8" w14:textId="77777777"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0.4220</w:t>
            </w:r>
          </w:p>
        </w:tc>
        <w:tc>
          <w:tcPr>
            <w:tcW w:w="608" w:type="pct"/>
            <w:tcBorders>
              <w:top w:val="nil"/>
              <w:left w:val="single" w:sz="4" w:space="0" w:color="auto"/>
              <w:bottom w:val="single" w:sz="4" w:space="0" w:color="auto"/>
              <w:right w:val="nil"/>
            </w:tcBorders>
          </w:tcPr>
          <w:p w14:paraId="2C111BA5" w14:textId="35729C09" w:rsidR="002164A7" w:rsidRPr="001503A1" w:rsidRDefault="002164A7"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0.4183</w:t>
            </w:r>
          </w:p>
        </w:tc>
      </w:tr>
    </w:tbl>
    <w:p w14:paraId="019950C3" w14:textId="7B00C972" w:rsidR="003303F3" w:rsidRPr="001503A1" w:rsidRDefault="003303F3" w:rsidP="00FC76D0">
      <w:pPr>
        <w:autoSpaceDE w:val="0"/>
        <w:autoSpaceDN w:val="0"/>
        <w:spacing w:beforeLines="50" w:before="156"/>
        <w:ind w:firstLineChars="200" w:firstLine="420"/>
        <w:rPr>
          <w:rFonts w:ascii="Times New Roman" w:eastAsia="宋体" w:hAnsi="Times New Roman" w:cs="Times New Roman"/>
          <w:color w:val="000000" w:themeColor="text1"/>
          <w:kern w:val="0"/>
          <w:szCs w:val="21"/>
        </w:rPr>
      </w:pPr>
      <w:r w:rsidRPr="001503A1">
        <w:rPr>
          <w:rFonts w:ascii="Times New Roman" w:eastAsia="宋体" w:hAnsi="Times New Roman" w:cs="Times New Roman"/>
          <w:color w:val="000000" w:themeColor="text1"/>
          <w:kern w:val="0"/>
          <w:szCs w:val="21"/>
        </w:rPr>
        <w:t>最后，为了进一步验证基准回归结果的稳健性，本文采用</w:t>
      </w:r>
      <w:r w:rsidRPr="001503A1">
        <w:rPr>
          <w:rFonts w:ascii="Times New Roman" w:eastAsia="宋体" w:hAnsi="Times New Roman" w:cs="Times New Roman"/>
          <w:color w:val="000000" w:themeColor="text1"/>
          <w:kern w:val="0"/>
          <w:szCs w:val="21"/>
        </w:rPr>
        <w:t>Bodory</w:t>
      </w:r>
      <w:r w:rsidRPr="001503A1">
        <w:rPr>
          <w:rFonts w:ascii="Times New Roman" w:eastAsia="宋体" w:hAnsi="Times New Roman" w:cs="Times New Roman"/>
          <w:color w:val="000000" w:themeColor="text1"/>
          <w:kern w:val="0"/>
          <w:szCs w:val="21"/>
        </w:rPr>
        <w:t>等（</w:t>
      </w:r>
      <w:r w:rsidRPr="001503A1">
        <w:rPr>
          <w:rFonts w:ascii="Times New Roman" w:eastAsia="宋体" w:hAnsi="Times New Roman" w:cs="Times New Roman"/>
          <w:color w:val="000000" w:themeColor="text1"/>
          <w:kern w:val="0"/>
          <w:szCs w:val="21"/>
        </w:rPr>
        <w:t>2022</w:t>
      </w:r>
      <w:r w:rsidRPr="001503A1">
        <w:rPr>
          <w:rFonts w:ascii="Times New Roman" w:eastAsia="宋体" w:hAnsi="Times New Roman" w:cs="Times New Roman"/>
          <w:color w:val="000000" w:themeColor="text1"/>
          <w:kern w:val="0"/>
          <w:szCs w:val="21"/>
        </w:rPr>
        <w:t>）提出的双重机器学习方法，基于随机森林和线性向量机算法通过在回归时进行交叉验证来选择最优的正则化参数进行模型的预测求解，以此重新估计</w:t>
      </w:r>
      <w:r w:rsidR="000378C5" w:rsidRPr="000378C5">
        <w:rPr>
          <w:rFonts w:ascii="Times New Roman" w:eastAsia="宋体" w:hAnsi="Times New Roman" w:cs="Times New Roman" w:hint="eastAsia"/>
          <w:color w:val="000000" w:themeColor="text1"/>
        </w:rPr>
        <w:t>国有资本划转</w:t>
      </w:r>
      <w:r w:rsidRPr="001503A1">
        <w:rPr>
          <w:rFonts w:ascii="Times New Roman" w:eastAsia="宋体" w:hAnsi="Times New Roman" w:cs="Times New Roman"/>
          <w:color w:val="000000" w:themeColor="text1"/>
        </w:rPr>
        <w:t>政策</w:t>
      </w:r>
      <w:r w:rsidRPr="001503A1">
        <w:rPr>
          <w:rFonts w:ascii="Times New Roman" w:eastAsia="宋体" w:hAnsi="Times New Roman" w:cs="Times New Roman"/>
          <w:color w:val="000000" w:themeColor="text1"/>
          <w:kern w:val="0"/>
          <w:szCs w:val="21"/>
        </w:rPr>
        <w:t>与</w:t>
      </w:r>
      <w:r w:rsidR="000D6B28" w:rsidRPr="001503A1">
        <w:rPr>
          <w:rFonts w:ascii="Times New Roman" w:eastAsia="宋体" w:hAnsi="Times New Roman" w:cs="Times New Roman" w:hint="eastAsia"/>
          <w:color w:val="000000" w:themeColor="text1"/>
          <w:kern w:val="0"/>
          <w:szCs w:val="21"/>
        </w:rPr>
        <w:t>国有</w:t>
      </w:r>
      <w:r w:rsidRPr="001503A1">
        <w:rPr>
          <w:rFonts w:ascii="Times New Roman" w:eastAsia="宋体" w:hAnsi="Times New Roman" w:cs="Times New Roman"/>
          <w:color w:val="000000" w:themeColor="text1"/>
          <w:kern w:val="0"/>
          <w:szCs w:val="21"/>
        </w:rPr>
        <w:t>企业风险承担水平之间的因果关系。</w:t>
      </w:r>
      <w:r w:rsidR="00D745B6" w:rsidRPr="001503A1">
        <w:rPr>
          <w:rFonts w:ascii="Times New Roman" w:eastAsia="宋体" w:hAnsi="Times New Roman" w:cs="Times New Roman" w:hint="eastAsia"/>
          <w:color w:val="000000" w:themeColor="text1"/>
          <w:kern w:val="0"/>
          <w:szCs w:val="21"/>
        </w:rPr>
        <w:t>附表</w:t>
      </w:r>
      <w:r w:rsidR="00D745B6" w:rsidRPr="001503A1">
        <w:rPr>
          <w:rFonts w:ascii="Times New Roman" w:eastAsia="宋体" w:hAnsi="Times New Roman" w:cs="Times New Roman" w:hint="eastAsia"/>
          <w:color w:val="000000" w:themeColor="text1"/>
          <w:kern w:val="0"/>
          <w:szCs w:val="21"/>
        </w:rPr>
        <w:t>3</w:t>
      </w:r>
      <w:r w:rsidRPr="001503A1">
        <w:rPr>
          <w:rFonts w:ascii="Times New Roman" w:eastAsia="宋体" w:hAnsi="Times New Roman" w:cs="Times New Roman"/>
          <w:color w:val="000000" w:themeColor="text1"/>
          <w:kern w:val="0"/>
          <w:szCs w:val="21"/>
        </w:rPr>
        <w:t>列示了基于双重机器学习方法的估计结果。不难看出，在控制企业固定效应和时间固定效应并逐步加入控制变量一次项、二次项和三次项后，核心解释变量</w:t>
      </w:r>
      <w:r w:rsidRPr="001503A1">
        <w:rPr>
          <w:rFonts w:ascii="Times New Roman" w:eastAsia="宋体" w:hAnsi="Times New Roman" w:cs="Times New Roman"/>
          <w:i/>
          <w:iCs/>
          <w:color w:val="000000" w:themeColor="text1"/>
          <w:kern w:val="0"/>
          <w:szCs w:val="21"/>
        </w:rPr>
        <w:t>Transfer</w:t>
      </w:r>
      <w:r w:rsidRPr="001503A1">
        <w:rPr>
          <w:rFonts w:ascii="Times New Roman" w:eastAsia="宋体" w:hAnsi="Times New Roman" w:cs="Times New Roman"/>
          <w:color w:val="000000" w:themeColor="text1"/>
          <w:kern w:val="0"/>
          <w:szCs w:val="21"/>
        </w:rPr>
        <w:t>的估计系数均在</w:t>
      </w:r>
      <w:r w:rsidRPr="001503A1">
        <w:rPr>
          <w:rFonts w:ascii="Times New Roman" w:eastAsia="宋体" w:hAnsi="Times New Roman" w:cs="Times New Roman"/>
          <w:color w:val="000000" w:themeColor="text1"/>
          <w:kern w:val="0"/>
          <w:szCs w:val="21"/>
        </w:rPr>
        <w:t>1%</w:t>
      </w:r>
      <w:r w:rsidRPr="001503A1">
        <w:rPr>
          <w:rFonts w:ascii="Times New Roman" w:eastAsia="宋体" w:hAnsi="Times New Roman" w:cs="Times New Roman"/>
          <w:color w:val="000000" w:themeColor="text1"/>
          <w:kern w:val="0"/>
          <w:szCs w:val="21"/>
        </w:rPr>
        <w:t>的水平上显著为负，表明</w:t>
      </w:r>
      <w:r w:rsidRPr="001503A1">
        <w:rPr>
          <w:rFonts w:ascii="Times New Roman" w:eastAsia="宋体" w:hAnsi="Times New Roman" w:cs="Times New Roman"/>
          <w:color w:val="000000" w:themeColor="text1"/>
        </w:rPr>
        <w:t>国有资本</w:t>
      </w:r>
      <w:r w:rsidR="000D6B28" w:rsidRPr="001503A1">
        <w:rPr>
          <w:rFonts w:ascii="Times New Roman" w:eastAsia="宋体" w:hAnsi="Times New Roman" w:cs="Times New Roman" w:hint="eastAsia"/>
          <w:color w:val="000000" w:themeColor="text1"/>
        </w:rPr>
        <w:t>划转</w:t>
      </w:r>
      <w:r w:rsidRPr="001503A1">
        <w:rPr>
          <w:rFonts w:ascii="Times New Roman" w:eastAsia="宋体" w:hAnsi="Times New Roman" w:cs="Times New Roman"/>
          <w:color w:val="000000" w:themeColor="text1"/>
          <w:kern w:val="0"/>
          <w:szCs w:val="21"/>
        </w:rPr>
        <w:t>降低国有企业风险承担水平的研究结论仍然成立。</w:t>
      </w:r>
    </w:p>
    <w:p w14:paraId="71BBEF20" w14:textId="24E71589" w:rsidR="003303F3" w:rsidRPr="001503A1" w:rsidRDefault="00D745B6" w:rsidP="003303F3">
      <w:pPr>
        <w:ind w:firstLineChars="200" w:firstLine="422"/>
        <w:contextualSpacing/>
        <w:jc w:val="left"/>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w:t>
      </w:r>
      <w:r w:rsidR="003303F3" w:rsidRPr="001503A1">
        <w:rPr>
          <w:rFonts w:ascii="Times New Roman" w:eastAsia="黑体" w:hAnsi="Times New Roman" w:cs="Times New Roman"/>
          <w:b/>
          <w:bCs/>
          <w:color w:val="000000" w:themeColor="text1"/>
          <w:szCs w:val="21"/>
        </w:rPr>
        <w:t>表</w:t>
      </w:r>
      <w:r w:rsidRPr="001503A1">
        <w:rPr>
          <w:rFonts w:ascii="Times New Roman" w:eastAsia="黑体" w:hAnsi="Times New Roman" w:cs="Times New Roman"/>
          <w:b/>
          <w:bCs/>
          <w:color w:val="000000" w:themeColor="text1"/>
          <w:szCs w:val="21"/>
        </w:rPr>
        <w:t>3</w:t>
      </w:r>
      <w:r w:rsidR="003303F3" w:rsidRPr="001503A1">
        <w:rPr>
          <w:rFonts w:ascii="Times New Roman" w:eastAsia="黑体" w:hAnsi="Times New Roman" w:cs="Times New Roman"/>
          <w:b/>
          <w:bCs/>
          <w:color w:val="000000" w:themeColor="text1"/>
          <w:szCs w:val="21"/>
        </w:rPr>
        <w:t xml:space="preserve">                            </w:t>
      </w:r>
      <w:r w:rsidR="003303F3" w:rsidRPr="001503A1">
        <w:rPr>
          <w:rFonts w:ascii="Times New Roman" w:eastAsia="黑体" w:hAnsi="Times New Roman" w:cs="Times New Roman" w:hint="eastAsia"/>
          <w:b/>
          <w:bCs/>
          <w:color w:val="000000" w:themeColor="text1"/>
          <w:szCs w:val="21"/>
        </w:rPr>
        <w:t xml:space="preserve"> </w:t>
      </w:r>
      <w:r w:rsidR="003303F3" w:rsidRPr="001503A1">
        <w:rPr>
          <w:rFonts w:ascii="Times New Roman" w:eastAsia="黑体" w:hAnsi="Times New Roman" w:cs="Times New Roman"/>
          <w:b/>
          <w:bCs/>
          <w:color w:val="000000" w:themeColor="text1"/>
          <w:szCs w:val="21"/>
        </w:rPr>
        <w:t>双重机器学习模型</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174"/>
        <w:gridCol w:w="1073"/>
        <w:gridCol w:w="1213"/>
        <w:gridCol w:w="1213"/>
        <w:gridCol w:w="1213"/>
        <w:gridCol w:w="1211"/>
        <w:gridCol w:w="1209"/>
      </w:tblGrid>
      <w:tr w:rsidR="001503A1" w:rsidRPr="001503A1" w14:paraId="2FB98632" w14:textId="77777777" w:rsidTr="00746B28">
        <w:tc>
          <w:tcPr>
            <w:tcW w:w="707" w:type="pct"/>
            <w:vMerge w:val="restart"/>
            <w:vAlign w:val="center"/>
          </w:tcPr>
          <w:p w14:paraId="51D197DC"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变量</w:t>
            </w:r>
          </w:p>
        </w:tc>
        <w:tc>
          <w:tcPr>
            <w:tcW w:w="2106" w:type="pct"/>
            <w:gridSpan w:val="3"/>
            <w:vAlign w:val="center"/>
          </w:tcPr>
          <w:p w14:paraId="70BBB440"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随机森林</w:t>
            </w:r>
          </w:p>
        </w:tc>
        <w:tc>
          <w:tcPr>
            <w:tcW w:w="2187" w:type="pct"/>
            <w:gridSpan w:val="3"/>
            <w:vAlign w:val="center"/>
          </w:tcPr>
          <w:p w14:paraId="6BFEF994"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线性向量机</w:t>
            </w:r>
          </w:p>
        </w:tc>
      </w:tr>
      <w:tr w:rsidR="001503A1" w:rsidRPr="001503A1" w14:paraId="024D6CA8" w14:textId="77777777" w:rsidTr="00746B28">
        <w:tc>
          <w:tcPr>
            <w:tcW w:w="707" w:type="pct"/>
            <w:vMerge/>
            <w:vAlign w:val="center"/>
          </w:tcPr>
          <w:p w14:paraId="7B5E0780"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p>
        </w:tc>
        <w:tc>
          <w:tcPr>
            <w:tcW w:w="646" w:type="pct"/>
            <w:vAlign w:val="center"/>
          </w:tcPr>
          <w:p w14:paraId="6152A372"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(1)</w:t>
            </w:r>
          </w:p>
        </w:tc>
        <w:tc>
          <w:tcPr>
            <w:tcW w:w="730" w:type="pct"/>
            <w:vAlign w:val="center"/>
          </w:tcPr>
          <w:p w14:paraId="3A55469F"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(2)</w:t>
            </w:r>
          </w:p>
        </w:tc>
        <w:tc>
          <w:tcPr>
            <w:tcW w:w="730" w:type="pct"/>
            <w:vAlign w:val="center"/>
          </w:tcPr>
          <w:p w14:paraId="7483256A"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(3)</w:t>
            </w:r>
          </w:p>
        </w:tc>
        <w:tc>
          <w:tcPr>
            <w:tcW w:w="730" w:type="pct"/>
            <w:vAlign w:val="center"/>
          </w:tcPr>
          <w:p w14:paraId="663F43AC"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(4)</w:t>
            </w:r>
          </w:p>
        </w:tc>
        <w:tc>
          <w:tcPr>
            <w:tcW w:w="729" w:type="pct"/>
            <w:vAlign w:val="center"/>
          </w:tcPr>
          <w:p w14:paraId="24141A8B"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(5)</w:t>
            </w:r>
          </w:p>
        </w:tc>
        <w:tc>
          <w:tcPr>
            <w:tcW w:w="728" w:type="pct"/>
            <w:vAlign w:val="center"/>
          </w:tcPr>
          <w:p w14:paraId="324B000B"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(6)</w:t>
            </w:r>
          </w:p>
        </w:tc>
      </w:tr>
      <w:tr w:rsidR="001503A1" w:rsidRPr="001503A1" w14:paraId="15C72A0C" w14:textId="77777777" w:rsidTr="00746B28">
        <w:tc>
          <w:tcPr>
            <w:tcW w:w="707" w:type="pct"/>
            <w:vMerge/>
            <w:tcBorders>
              <w:bottom w:val="single" w:sz="4" w:space="0" w:color="auto"/>
            </w:tcBorders>
            <w:vAlign w:val="center"/>
          </w:tcPr>
          <w:p w14:paraId="6F4E2785" w14:textId="77777777" w:rsidR="003303F3" w:rsidRPr="001503A1" w:rsidRDefault="003303F3" w:rsidP="00746B28">
            <w:pPr>
              <w:autoSpaceDE w:val="0"/>
              <w:autoSpaceDN w:val="0"/>
              <w:contextualSpacing/>
              <w:jc w:val="center"/>
              <w:rPr>
                <w:rFonts w:ascii="Times New Roman" w:eastAsia="宋体" w:hAnsi="Times New Roman" w:cs="Times New Roman"/>
                <w:color w:val="000000" w:themeColor="text1"/>
                <w:kern w:val="0"/>
                <w:sz w:val="18"/>
                <w:szCs w:val="18"/>
              </w:rPr>
            </w:pPr>
          </w:p>
        </w:tc>
        <w:tc>
          <w:tcPr>
            <w:tcW w:w="646" w:type="pct"/>
            <w:tcBorders>
              <w:bottom w:val="single" w:sz="4" w:space="0" w:color="auto"/>
            </w:tcBorders>
            <w:vAlign w:val="center"/>
          </w:tcPr>
          <w:p w14:paraId="244F05E4" w14:textId="77777777" w:rsidR="003303F3" w:rsidRPr="001503A1" w:rsidRDefault="003303F3"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730" w:type="pct"/>
            <w:tcBorders>
              <w:bottom w:val="single" w:sz="4" w:space="0" w:color="auto"/>
            </w:tcBorders>
            <w:vAlign w:val="center"/>
          </w:tcPr>
          <w:p w14:paraId="06A1CDE1" w14:textId="77777777" w:rsidR="003303F3" w:rsidRPr="001503A1" w:rsidRDefault="003303F3"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730" w:type="pct"/>
            <w:tcBorders>
              <w:bottom w:val="single" w:sz="4" w:space="0" w:color="auto"/>
            </w:tcBorders>
            <w:vAlign w:val="center"/>
          </w:tcPr>
          <w:p w14:paraId="0863E03F" w14:textId="77777777" w:rsidR="003303F3" w:rsidRPr="001503A1" w:rsidRDefault="003303F3"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730" w:type="pct"/>
            <w:tcBorders>
              <w:bottom w:val="single" w:sz="4" w:space="0" w:color="auto"/>
            </w:tcBorders>
            <w:vAlign w:val="center"/>
          </w:tcPr>
          <w:p w14:paraId="7A9E8A81" w14:textId="77777777" w:rsidR="003303F3" w:rsidRPr="001503A1" w:rsidRDefault="003303F3"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729" w:type="pct"/>
            <w:tcBorders>
              <w:bottom w:val="single" w:sz="4" w:space="0" w:color="auto"/>
            </w:tcBorders>
            <w:vAlign w:val="center"/>
          </w:tcPr>
          <w:p w14:paraId="2F346ADB" w14:textId="77777777" w:rsidR="003303F3" w:rsidRPr="001503A1" w:rsidRDefault="003303F3"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728" w:type="pct"/>
            <w:tcBorders>
              <w:bottom w:val="single" w:sz="4" w:space="0" w:color="auto"/>
            </w:tcBorders>
            <w:vAlign w:val="center"/>
          </w:tcPr>
          <w:p w14:paraId="08F40DEE" w14:textId="77777777" w:rsidR="003303F3" w:rsidRPr="001503A1" w:rsidRDefault="003303F3" w:rsidP="00746B28">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r>
      <w:tr w:rsidR="001503A1" w:rsidRPr="001503A1" w14:paraId="57DA01B3" w14:textId="77777777" w:rsidTr="00746B28">
        <w:tc>
          <w:tcPr>
            <w:tcW w:w="707" w:type="pct"/>
            <w:vMerge w:val="restart"/>
            <w:tcBorders>
              <w:bottom w:val="nil"/>
            </w:tcBorders>
            <w:vAlign w:val="center"/>
          </w:tcPr>
          <w:p w14:paraId="14A4C5E2" w14:textId="77777777" w:rsidR="003303F3" w:rsidRPr="001503A1" w:rsidRDefault="003303F3" w:rsidP="00746B28">
            <w:pPr>
              <w:autoSpaceDE w:val="0"/>
              <w:autoSpaceDN w:val="0"/>
              <w:contextualSpacing/>
              <w:jc w:val="center"/>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Transfer</w:t>
            </w:r>
          </w:p>
        </w:tc>
        <w:tc>
          <w:tcPr>
            <w:tcW w:w="646" w:type="pct"/>
            <w:tcBorders>
              <w:bottom w:val="nil"/>
            </w:tcBorders>
          </w:tcPr>
          <w:p w14:paraId="1048396F"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-0.0035</w:t>
            </w:r>
            <w:r w:rsidRPr="001503A1">
              <w:rPr>
                <w:rFonts w:ascii="Times New Roman" w:eastAsia="楷体" w:hAnsi="Times New Roman" w:cs="Times New Roman"/>
                <w:color w:val="000000" w:themeColor="text1"/>
                <w:kern w:val="0"/>
                <w:sz w:val="18"/>
                <w:szCs w:val="18"/>
                <w:vertAlign w:val="superscript"/>
              </w:rPr>
              <w:t>**</w:t>
            </w:r>
          </w:p>
        </w:tc>
        <w:tc>
          <w:tcPr>
            <w:tcW w:w="730" w:type="pct"/>
            <w:tcBorders>
              <w:bottom w:val="nil"/>
            </w:tcBorders>
          </w:tcPr>
          <w:p w14:paraId="3DD011FE"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-0.0033</w:t>
            </w:r>
            <w:r w:rsidRPr="001503A1">
              <w:rPr>
                <w:rFonts w:ascii="Times New Roman" w:eastAsia="楷体" w:hAnsi="Times New Roman" w:cs="Times New Roman"/>
                <w:color w:val="000000" w:themeColor="text1"/>
                <w:kern w:val="0"/>
                <w:sz w:val="18"/>
                <w:szCs w:val="18"/>
                <w:vertAlign w:val="superscript"/>
              </w:rPr>
              <w:t>**</w:t>
            </w:r>
          </w:p>
        </w:tc>
        <w:tc>
          <w:tcPr>
            <w:tcW w:w="730" w:type="pct"/>
            <w:tcBorders>
              <w:bottom w:val="nil"/>
            </w:tcBorders>
          </w:tcPr>
          <w:p w14:paraId="724F1FBA"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-0.0035</w:t>
            </w:r>
            <w:r w:rsidRPr="001503A1">
              <w:rPr>
                <w:rFonts w:ascii="Times New Roman" w:eastAsia="楷体" w:hAnsi="Times New Roman" w:cs="Times New Roman"/>
                <w:color w:val="000000" w:themeColor="text1"/>
                <w:kern w:val="0"/>
                <w:sz w:val="18"/>
                <w:szCs w:val="18"/>
                <w:vertAlign w:val="superscript"/>
              </w:rPr>
              <w:t>***</w:t>
            </w:r>
          </w:p>
        </w:tc>
        <w:tc>
          <w:tcPr>
            <w:tcW w:w="730" w:type="pct"/>
            <w:tcBorders>
              <w:bottom w:val="nil"/>
            </w:tcBorders>
          </w:tcPr>
          <w:p w14:paraId="60811655"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-0.0043</w:t>
            </w:r>
            <w:r w:rsidRPr="001503A1">
              <w:rPr>
                <w:rFonts w:ascii="Times New Roman" w:eastAsia="楷体" w:hAnsi="Times New Roman" w:cs="Times New Roman"/>
                <w:color w:val="000000" w:themeColor="text1"/>
                <w:kern w:val="0"/>
                <w:sz w:val="18"/>
                <w:szCs w:val="18"/>
                <w:vertAlign w:val="superscript"/>
              </w:rPr>
              <w:t>***</w:t>
            </w:r>
          </w:p>
        </w:tc>
        <w:tc>
          <w:tcPr>
            <w:tcW w:w="729" w:type="pct"/>
            <w:tcBorders>
              <w:bottom w:val="nil"/>
            </w:tcBorders>
          </w:tcPr>
          <w:p w14:paraId="5342AD25"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-0.0057</w:t>
            </w:r>
            <w:r w:rsidRPr="001503A1">
              <w:rPr>
                <w:rFonts w:ascii="Times New Roman" w:eastAsia="楷体" w:hAnsi="Times New Roman" w:cs="Times New Roman"/>
                <w:color w:val="000000" w:themeColor="text1"/>
                <w:kern w:val="0"/>
                <w:sz w:val="18"/>
                <w:szCs w:val="18"/>
                <w:vertAlign w:val="superscript"/>
              </w:rPr>
              <w:t>***</w:t>
            </w:r>
          </w:p>
        </w:tc>
        <w:tc>
          <w:tcPr>
            <w:tcW w:w="728" w:type="pct"/>
            <w:tcBorders>
              <w:bottom w:val="nil"/>
            </w:tcBorders>
          </w:tcPr>
          <w:p w14:paraId="3FF93E5B"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-0.0013</w:t>
            </w:r>
            <w:r w:rsidRPr="001503A1">
              <w:rPr>
                <w:rFonts w:ascii="Times New Roman" w:eastAsia="楷体" w:hAnsi="Times New Roman" w:cs="Times New Roman"/>
                <w:color w:val="000000" w:themeColor="text1"/>
                <w:kern w:val="0"/>
                <w:sz w:val="18"/>
                <w:szCs w:val="18"/>
                <w:vertAlign w:val="superscript"/>
              </w:rPr>
              <w:t>*</w:t>
            </w:r>
          </w:p>
        </w:tc>
      </w:tr>
      <w:tr w:rsidR="001503A1" w:rsidRPr="001503A1" w14:paraId="76C04A4E" w14:textId="77777777" w:rsidTr="00746B28">
        <w:tc>
          <w:tcPr>
            <w:tcW w:w="707" w:type="pct"/>
            <w:vMerge/>
            <w:tcBorders>
              <w:top w:val="nil"/>
              <w:bottom w:val="nil"/>
            </w:tcBorders>
            <w:vAlign w:val="center"/>
          </w:tcPr>
          <w:p w14:paraId="6180054B"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p>
        </w:tc>
        <w:tc>
          <w:tcPr>
            <w:tcW w:w="646" w:type="pct"/>
            <w:tcBorders>
              <w:top w:val="nil"/>
              <w:bottom w:val="nil"/>
            </w:tcBorders>
          </w:tcPr>
          <w:p w14:paraId="07580337"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(0.0013)</w:t>
            </w:r>
          </w:p>
        </w:tc>
        <w:tc>
          <w:tcPr>
            <w:tcW w:w="730" w:type="pct"/>
            <w:tcBorders>
              <w:top w:val="nil"/>
              <w:bottom w:val="nil"/>
            </w:tcBorders>
          </w:tcPr>
          <w:p w14:paraId="567FF6D9"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(0.0014)</w:t>
            </w:r>
          </w:p>
        </w:tc>
        <w:tc>
          <w:tcPr>
            <w:tcW w:w="730" w:type="pct"/>
            <w:tcBorders>
              <w:top w:val="nil"/>
              <w:bottom w:val="nil"/>
            </w:tcBorders>
          </w:tcPr>
          <w:p w14:paraId="062DC092"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(0.0014)</w:t>
            </w:r>
          </w:p>
        </w:tc>
        <w:tc>
          <w:tcPr>
            <w:tcW w:w="730" w:type="pct"/>
            <w:tcBorders>
              <w:top w:val="nil"/>
              <w:bottom w:val="nil"/>
            </w:tcBorders>
          </w:tcPr>
          <w:p w14:paraId="24415D6F"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(0.0014)</w:t>
            </w:r>
          </w:p>
        </w:tc>
        <w:tc>
          <w:tcPr>
            <w:tcW w:w="729" w:type="pct"/>
            <w:tcBorders>
              <w:top w:val="nil"/>
              <w:bottom w:val="nil"/>
            </w:tcBorders>
          </w:tcPr>
          <w:p w14:paraId="7AAA2E3B"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(0.0017)</w:t>
            </w:r>
          </w:p>
        </w:tc>
        <w:tc>
          <w:tcPr>
            <w:tcW w:w="728" w:type="pct"/>
            <w:tcBorders>
              <w:top w:val="nil"/>
              <w:bottom w:val="nil"/>
            </w:tcBorders>
          </w:tcPr>
          <w:p w14:paraId="6DBC9580"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(0.0007)</w:t>
            </w:r>
          </w:p>
        </w:tc>
      </w:tr>
      <w:tr w:rsidR="001503A1" w:rsidRPr="001503A1" w14:paraId="4DD49043" w14:textId="77777777" w:rsidTr="00746B28">
        <w:tc>
          <w:tcPr>
            <w:tcW w:w="707" w:type="pct"/>
            <w:tcBorders>
              <w:top w:val="nil"/>
              <w:bottom w:val="nil"/>
            </w:tcBorders>
            <w:vAlign w:val="center"/>
          </w:tcPr>
          <w:p w14:paraId="49EF8773"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r w:rsidRPr="001503A1">
              <w:rPr>
                <w:rFonts w:ascii="Times New Roman" w:eastAsia="楷体" w:hAnsi="Times New Roman" w:cs="Times New Roman"/>
                <w:color w:val="000000" w:themeColor="text1"/>
                <w:kern w:val="0"/>
                <w:sz w:val="18"/>
                <w:szCs w:val="18"/>
              </w:rPr>
              <w:t>^1</w:t>
            </w:r>
          </w:p>
        </w:tc>
        <w:tc>
          <w:tcPr>
            <w:tcW w:w="646" w:type="pct"/>
            <w:tcBorders>
              <w:top w:val="nil"/>
              <w:bottom w:val="nil"/>
            </w:tcBorders>
            <w:vAlign w:val="center"/>
          </w:tcPr>
          <w:p w14:paraId="052C1D06"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nil"/>
            </w:tcBorders>
          </w:tcPr>
          <w:p w14:paraId="08622548"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nil"/>
            </w:tcBorders>
          </w:tcPr>
          <w:p w14:paraId="383CF42D"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nil"/>
            </w:tcBorders>
            <w:vAlign w:val="center"/>
          </w:tcPr>
          <w:p w14:paraId="157044F5"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29" w:type="pct"/>
            <w:tcBorders>
              <w:top w:val="nil"/>
              <w:bottom w:val="nil"/>
            </w:tcBorders>
          </w:tcPr>
          <w:p w14:paraId="0F121FFB"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28" w:type="pct"/>
            <w:tcBorders>
              <w:top w:val="nil"/>
              <w:bottom w:val="nil"/>
            </w:tcBorders>
          </w:tcPr>
          <w:p w14:paraId="4561A3C5"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1C71C351" w14:textId="77777777" w:rsidTr="00746B28">
        <w:tc>
          <w:tcPr>
            <w:tcW w:w="707" w:type="pct"/>
            <w:tcBorders>
              <w:top w:val="nil"/>
              <w:bottom w:val="nil"/>
            </w:tcBorders>
            <w:vAlign w:val="center"/>
          </w:tcPr>
          <w:p w14:paraId="6EAF300E"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r w:rsidRPr="001503A1">
              <w:rPr>
                <w:rFonts w:ascii="Times New Roman" w:eastAsia="楷体" w:hAnsi="Times New Roman" w:cs="Times New Roman"/>
                <w:color w:val="000000" w:themeColor="text1"/>
                <w:kern w:val="0"/>
                <w:sz w:val="18"/>
                <w:szCs w:val="18"/>
              </w:rPr>
              <w:t>^2</w:t>
            </w:r>
          </w:p>
        </w:tc>
        <w:tc>
          <w:tcPr>
            <w:tcW w:w="646" w:type="pct"/>
            <w:tcBorders>
              <w:top w:val="nil"/>
              <w:bottom w:val="nil"/>
            </w:tcBorders>
          </w:tcPr>
          <w:p w14:paraId="51D3817F"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730" w:type="pct"/>
            <w:tcBorders>
              <w:top w:val="nil"/>
              <w:bottom w:val="nil"/>
            </w:tcBorders>
          </w:tcPr>
          <w:p w14:paraId="3A1BBB15"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nil"/>
            </w:tcBorders>
          </w:tcPr>
          <w:p w14:paraId="54E4D537"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nil"/>
            </w:tcBorders>
          </w:tcPr>
          <w:p w14:paraId="69D48ED9"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729" w:type="pct"/>
            <w:tcBorders>
              <w:top w:val="nil"/>
              <w:bottom w:val="nil"/>
            </w:tcBorders>
          </w:tcPr>
          <w:p w14:paraId="1A78FBF1"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28" w:type="pct"/>
            <w:tcBorders>
              <w:top w:val="nil"/>
              <w:bottom w:val="nil"/>
            </w:tcBorders>
          </w:tcPr>
          <w:p w14:paraId="2E660F9D"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23B47A5A" w14:textId="77777777" w:rsidTr="00746B28">
        <w:tc>
          <w:tcPr>
            <w:tcW w:w="707" w:type="pct"/>
            <w:tcBorders>
              <w:top w:val="nil"/>
              <w:bottom w:val="nil"/>
            </w:tcBorders>
            <w:vAlign w:val="center"/>
          </w:tcPr>
          <w:p w14:paraId="535EC6A1"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r w:rsidRPr="001503A1">
              <w:rPr>
                <w:rFonts w:ascii="Times New Roman" w:eastAsia="楷体" w:hAnsi="Times New Roman" w:cs="Times New Roman"/>
                <w:color w:val="000000" w:themeColor="text1"/>
                <w:kern w:val="0"/>
                <w:sz w:val="18"/>
                <w:szCs w:val="18"/>
              </w:rPr>
              <w:t>^3</w:t>
            </w:r>
          </w:p>
        </w:tc>
        <w:tc>
          <w:tcPr>
            <w:tcW w:w="646" w:type="pct"/>
            <w:tcBorders>
              <w:top w:val="nil"/>
              <w:bottom w:val="nil"/>
            </w:tcBorders>
          </w:tcPr>
          <w:p w14:paraId="75F6DDE9"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730" w:type="pct"/>
            <w:tcBorders>
              <w:top w:val="nil"/>
              <w:bottom w:val="nil"/>
            </w:tcBorders>
            <w:vAlign w:val="center"/>
          </w:tcPr>
          <w:p w14:paraId="1AAC222B"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730" w:type="pct"/>
            <w:tcBorders>
              <w:top w:val="nil"/>
              <w:bottom w:val="nil"/>
            </w:tcBorders>
          </w:tcPr>
          <w:p w14:paraId="58A77C19"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nil"/>
            </w:tcBorders>
          </w:tcPr>
          <w:p w14:paraId="2C50B8EE"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729" w:type="pct"/>
            <w:tcBorders>
              <w:top w:val="nil"/>
              <w:bottom w:val="nil"/>
            </w:tcBorders>
            <w:vAlign w:val="center"/>
          </w:tcPr>
          <w:p w14:paraId="2FD340E1"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未控制</w:t>
            </w:r>
          </w:p>
        </w:tc>
        <w:tc>
          <w:tcPr>
            <w:tcW w:w="728" w:type="pct"/>
            <w:tcBorders>
              <w:top w:val="nil"/>
              <w:bottom w:val="nil"/>
            </w:tcBorders>
          </w:tcPr>
          <w:p w14:paraId="566CB6FA"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44CCD11A" w14:textId="77777777" w:rsidTr="00746B28">
        <w:tc>
          <w:tcPr>
            <w:tcW w:w="707" w:type="pct"/>
            <w:tcBorders>
              <w:top w:val="nil"/>
              <w:bottom w:val="nil"/>
            </w:tcBorders>
            <w:vAlign w:val="center"/>
          </w:tcPr>
          <w:p w14:paraId="5DC686E4"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个体效应</w:t>
            </w:r>
          </w:p>
        </w:tc>
        <w:tc>
          <w:tcPr>
            <w:tcW w:w="646" w:type="pct"/>
            <w:tcBorders>
              <w:top w:val="nil"/>
              <w:bottom w:val="nil"/>
            </w:tcBorders>
          </w:tcPr>
          <w:p w14:paraId="2431BB83"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nil"/>
            </w:tcBorders>
          </w:tcPr>
          <w:p w14:paraId="22F34C89"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nil"/>
            </w:tcBorders>
          </w:tcPr>
          <w:p w14:paraId="6ACBE33B"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nil"/>
            </w:tcBorders>
          </w:tcPr>
          <w:p w14:paraId="2AD948DE"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29" w:type="pct"/>
            <w:tcBorders>
              <w:top w:val="nil"/>
              <w:bottom w:val="nil"/>
            </w:tcBorders>
          </w:tcPr>
          <w:p w14:paraId="6CCD3EFE"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28" w:type="pct"/>
            <w:tcBorders>
              <w:top w:val="nil"/>
              <w:bottom w:val="nil"/>
            </w:tcBorders>
          </w:tcPr>
          <w:p w14:paraId="18F68804"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27B82D55" w14:textId="77777777" w:rsidTr="00746B28">
        <w:tc>
          <w:tcPr>
            <w:tcW w:w="707" w:type="pct"/>
            <w:tcBorders>
              <w:top w:val="nil"/>
              <w:bottom w:val="single" w:sz="4" w:space="0" w:color="auto"/>
            </w:tcBorders>
            <w:vAlign w:val="center"/>
          </w:tcPr>
          <w:p w14:paraId="007EAF83"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时间效应</w:t>
            </w:r>
          </w:p>
        </w:tc>
        <w:tc>
          <w:tcPr>
            <w:tcW w:w="646" w:type="pct"/>
            <w:tcBorders>
              <w:top w:val="nil"/>
              <w:bottom w:val="single" w:sz="4" w:space="0" w:color="auto"/>
            </w:tcBorders>
          </w:tcPr>
          <w:p w14:paraId="171FD8A2"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single" w:sz="4" w:space="0" w:color="auto"/>
            </w:tcBorders>
          </w:tcPr>
          <w:p w14:paraId="3BC6807E"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single" w:sz="4" w:space="0" w:color="auto"/>
            </w:tcBorders>
          </w:tcPr>
          <w:p w14:paraId="493C253F"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30" w:type="pct"/>
            <w:tcBorders>
              <w:top w:val="nil"/>
              <w:bottom w:val="single" w:sz="4" w:space="0" w:color="auto"/>
            </w:tcBorders>
          </w:tcPr>
          <w:p w14:paraId="236DBE5A"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29" w:type="pct"/>
            <w:tcBorders>
              <w:top w:val="nil"/>
              <w:bottom w:val="single" w:sz="4" w:space="0" w:color="auto"/>
            </w:tcBorders>
          </w:tcPr>
          <w:p w14:paraId="442C3BB7"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28" w:type="pct"/>
            <w:tcBorders>
              <w:top w:val="nil"/>
              <w:bottom w:val="single" w:sz="4" w:space="0" w:color="auto"/>
            </w:tcBorders>
          </w:tcPr>
          <w:p w14:paraId="6FFBBE15"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3303F3" w:rsidRPr="001503A1" w14:paraId="0EDC6581" w14:textId="77777777" w:rsidTr="00746B28">
        <w:tc>
          <w:tcPr>
            <w:tcW w:w="707" w:type="pct"/>
            <w:tcBorders>
              <w:top w:val="single" w:sz="4" w:space="0" w:color="auto"/>
            </w:tcBorders>
            <w:vAlign w:val="center"/>
          </w:tcPr>
          <w:p w14:paraId="5FAFD98A"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观测值</w:t>
            </w:r>
          </w:p>
        </w:tc>
        <w:tc>
          <w:tcPr>
            <w:tcW w:w="646" w:type="pct"/>
            <w:tcBorders>
              <w:top w:val="single" w:sz="4" w:space="0" w:color="auto"/>
            </w:tcBorders>
            <w:vAlign w:val="center"/>
          </w:tcPr>
          <w:p w14:paraId="78395DCB"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730" w:type="pct"/>
            <w:tcBorders>
              <w:top w:val="single" w:sz="4" w:space="0" w:color="auto"/>
            </w:tcBorders>
            <w:vAlign w:val="center"/>
          </w:tcPr>
          <w:p w14:paraId="4BD02CB5"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730" w:type="pct"/>
            <w:tcBorders>
              <w:top w:val="single" w:sz="4" w:space="0" w:color="auto"/>
            </w:tcBorders>
            <w:vAlign w:val="center"/>
          </w:tcPr>
          <w:p w14:paraId="0C4FEE41"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730" w:type="pct"/>
            <w:tcBorders>
              <w:top w:val="single" w:sz="4" w:space="0" w:color="auto"/>
            </w:tcBorders>
            <w:vAlign w:val="center"/>
          </w:tcPr>
          <w:p w14:paraId="7173E690"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729" w:type="pct"/>
            <w:tcBorders>
              <w:top w:val="single" w:sz="4" w:space="0" w:color="auto"/>
            </w:tcBorders>
            <w:vAlign w:val="center"/>
          </w:tcPr>
          <w:p w14:paraId="06610FF0"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728" w:type="pct"/>
            <w:tcBorders>
              <w:top w:val="single" w:sz="4" w:space="0" w:color="auto"/>
            </w:tcBorders>
            <w:vAlign w:val="center"/>
          </w:tcPr>
          <w:p w14:paraId="54AD13C6" w14:textId="77777777" w:rsidR="003303F3" w:rsidRPr="001503A1" w:rsidRDefault="003303F3" w:rsidP="00746B28">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r>
    </w:tbl>
    <w:p w14:paraId="21A077AA" w14:textId="5A3CBA8D" w:rsidR="003303F3" w:rsidRPr="001503A1" w:rsidRDefault="003303F3">
      <w:pPr>
        <w:rPr>
          <w:rFonts w:hint="eastAsia"/>
          <w:color w:val="000000" w:themeColor="text1"/>
        </w:rPr>
      </w:pPr>
    </w:p>
    <w:p w14:paraId="66CD9EAB" w14:textId="794CF217" w:rsidR="001A124A" w:rsidRPr="001503A1" w:rsidRDefault="001A124A">
      <w:pPr>
        <w:rPr>
          <w:rFonts w:hint="eastAsia"/>
          <w:color w:val="000000" w:themeColor="text1"/>
        </w:rPr>
      </w:pPr>
    </w:p>
    <w:p w14:paraId="38096138" w14:textId="4E07ACD3" w:rsidR="001A124A" w:rsidRPr="001503A1" w:rsidRDefault="001A124A" w:rsidP="00FC76D0">
      <w:pPr>
        <w:ind w:firstLineChars="200" w:firstLine="420"/>
        <w:contextualSpacing/>
        <w:rPr>
          <w:rFonts w:ascii="Times New Roman" w:eastAsia="楷体" w:hAnsi="Times New Roman" w:cs="Times New Roman"/>
          <w:color w:val="000000" w:themeColor="text1"/>
        </w:rPr>
      </w:pPr>
      <w:r w:rsidRPr="001503A1">
        <w:rPr>
          <w:rFonts w:ascii="Times New Roman" w:eastAsia="楷体" w:hAnsi="Times New Roman" w:cs="Times New Roman"/>
          <w:color w:val="000000" w:themeColor="text1"/>
        </w:rPr>
        <w:t>2</w:t>
      </w:r>
      <w:r w:rsidRPr="001503A1">
        <w:rPr>
          <w:rFonts w:ascii="Times New Roman" w:eastAsia="楷体" w:hAnsi="Times New Roman" w:cs="Times New Roman" w:hint="eastAsia"/>
          <w:color w:val="000000" w:themeColor="text1"/>
        </w:rPr>
        <w:t>.</w:t>
      </w:r>
      <w:r w:rsidRPr="001503A1">
        <w:rPr>
          <w:rFonts w:ascii="Times New Roman" w:eastAsia="楷体" w:hAnsi="Times New Roman" w:cs="Times New Roman"/>
          <w:color w:val="000000" w:themeColor="text1"/>
        </w:rPr>
        <w:t>替换关键变量</w:t>
      </w:r>
    </w:p>
    <w:p w14:paraId="5AE37FAD" w14:textId="2FBE1FEF" w:rsidR="001A124A" w:rsidRPr="001503A1" w:rsidRDefault="001A124A"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hint="eastAsia"/>
          <w:color w:val="000000" w:themeColor="text1"/>
        </w:rPr>
        <w:t>为考察基准回归结果对核心变量</w:t>
      </w:r>
      <w:r w:rsidRPr="001503A1">
        <w:rPr>
          <w:rFonts w:ascii="Times New Roman" w:eastAsia="宋体" w:hAnsi="Times New Roman" w:cs="Times New Roman"/>
          <w:color w:val="000000" w:themeColor="text1"/>
        </w:rPr>
        <w:t>定义方式</w:t>
      </w:r>
      <w:r w:rsidRPr="001503A1">
        <w:rPr>
          <w:rFonts w:ascii="Times New Roman" w:eastAsia="宋体" w:hAnsi="Times New Roman" w:cs="Times New Roman" w:hint="eastAsia"/>
          <w:color w:val="000000" w:themeColor="text1"/>
        </w:rPr>
        <w:t>的敏感性</w:t>
      </w:r>
      <w:r w:rsidRPr="001503A1">
        <w:rPr>
          <w:rFonts w:ascii="Times New Roman" w:eastAsia="宋体" w:hAnsi="Times New Roman" w:cs="Times New Roman"/>
          <w:color w:val="000000" w:themeColor="text1"/>
        </w:rPr>
        <w:t>，本文</w:t>
      </w:r>
      <w:r w:rsidRPr="001503A1">
        <w:rPr>
          <w:rFonts w:ascii="Times New Roman" w:eastAsia="宋体" w:hAnsi="Times New Roman" w:cs="Times New Roman" w:hint="eastAsia"/>
          <w:color w:val="000000" w:themeColor="text1"/>
        </w:rPr>
        <w:t>重新计算了</w:t>
      </w:r>
      <w:r w:rsidR="009224C6" w:rsidRPr="001503A1">
        <w:rPr>
          <w:rFonts w:ascii="Times New Roman" w:eastAsia="宋体" w:hAnsi="Times New Roman" w:cs="Times New Roman" w:hint="eastAsia"/>
          <w:color w:val="000000" w:themeColor="text1"/>
        </w:rPr>
        <w:t>国有</w:t>
      </w:r>
      <w:r w:rsidRPr="001503A1">
        <w:rPr>
          <w:rFonts w:ascii="Times New Roman" w:eastAsia="宋体" w:hAnsi="Times New Roman" w:cs="Times New Roman"/>
          <w:color w:val="000000" w:themeColor="text1"/>
        </w:rPr>
        <w:t>企业风险承担</w:t>
      </w:r>
      <w:r w:rsidRPr="001503A1">
        <w:rPr>
          <w:rFonts w:ascii="Times New Roman" w:eastAsia="宋体" w:hAnsi="Times New Roman" w:cs="Times New Roman" w:hint="eastAsia"/>
          <w:color w:val="000000" w:themeColor="text1"/>
        </w:rPr>
        <w:t>水平</w:t>
      </w:r>
      <w:r w:rsidRPr="001503A1">
        <w:rPr>
          <w:rFonts w:ascii="Times New Roman" w:eastAsia="宋体" w:hAnsi="Times New Roman" w:cs="Times New Roman"/>
          <w:color w:val="000000" w:themeColor="text1"/>
        </w:rPr>
        <w:t>，具体是：第一，以三年内经行业均值调整后的</w:t>
      </w:r>
      <w:r w:rsidRPr="001503A1">
        <w:rPr>
          <w:rFonts w:ascii="Times New Roman" w:eastAsia="宋体" w:hAnsi="Times New Roman" w:cs="Times New Roman"/>
          <w:i/>
          <w:iCs/>
          <w:color w:val="000000" w:themeColor="text1"/>
        </w:rPr>
        <w:t>R</w:t>
      </w:r>
      <w:r w:rsidRPr="001503A1">
        <w:rPr>
          <w:rFonts w:ascii="Times New Roman" w:eastAsia="宋体" w:hAnsi="Times New Roman" w:cs="Times New Roman" w:hint="eastAsia"/>
          <w:i/>
          <w:iCs/>
          <w:color w:val="000000" w:themeColor="text1"/>
        </w:rPr>
        <w:t>oa</w:t>
      </w:r>
      <w:r w:rsidRPr="001503A1">
        <w:rPr>
          <w:rFonts w:ascii="Times New Roman" w:eastAsia="宋体" w:hAnsi="Times New Roman" w:cs="Times New Roman"/>
          <w:color w:val="000000" w:themeColor="text1"/>
        </w:rPr>
        <w:t>极差（</w:t>
      </w:r>
      <w:r w:rsidRPr="001503A1">
        <w:rPr>
          <w:rFonts w:ascii="Times New Roman" w:eastAsia="宋体" w:hAnsi="Times New Roman" w:cs="Times New Roman"/>
          <w:i/>
          <w:iCs/>
          <w:color w:val="000000" w:themeColor="text1"/>
        </w:rPr>
        <w:t>Risk2</w:t>
      </w:r>
      <w:r w:rsidRPr="001503A1">
        <w:rPr>
          <w:rFonts w:ascii="Times New Roman" w:eastAsia="宋体" w:hAnsi="Times New Roman" w:cs="Times New Roman"/>
          <w:color w:val="000000" w:themeColor="text1"/>
        </w:rPr>
        <w:t>）</w:t>
      </w:r>
      <w:r w:rsidRPr="001503A1">
        <w:rPr>
          <w:rFonts w:ascii="Times New Roman" w:eastAsia="宋体" w:hAnsi="Times New Roman" w:cs="Times New Roman" w:hint="eastAsia"/>
          <w:color w:val="000000" w:themeColor="text1"/>
        </w:rPr>
        <w:t>刻画</w:t>
      </w:r>
      <w:r w:rsidRPr="001503A1">
        <w:rPr>
          <w:rFonts w:ascii="Times New Roman" w:eastAsia="宋体" w:hAnsi="Times New Roman" w:cs="Times New Roman"/>
          <w:color w:val="000000" w:themeColor="text1"/>
        </w:rPr>
        <w:t>；第二，借鉴宋建波等（</w:t>
      </w:r>
      <w:r w:rsidRPr="001503A1">
        <w:rPr>
          <w:rFonts w:ascii="Times New Roman" w:eastAsia="宋体" w:hAnsi="Times New Roman" w:cs="Times New Roman"/>
          <w:color w:val="000000" w:themeColor="text1"/>
        </w:rPr>
        <w:t>2017</w:t>
      </w:r>
      <w:r w:rsidRPr="001503A1">
        <w:rPr>
          <w:rFonts w:ascii="Times New Roman" w:eastAsia="宋体" w:hAnsi="Times New Roman" w:cs="Times New Roman"/>
          <w:color w:val="000000" w:themeColor="text1"/>
        </w:rPr>
        <w:t>）的方法，以</w:t>
      </w:r>
      <w:r w:rsidRPr="001503A1">
        <w:rPr>
          <w:rFonts w:ascii="Times New Roman" w:eastAsia="宋体" w:hAnsi="Times New Roman" w:cs="Times New Roman"/>
          <w:i/>
          <w:iCs/>
          <w:color w:val="000000" w:themeColor="text1"/>
        </w:rPr>
        <w:t>t</w:t>
      </w:r>
      <w:r w:rsidRPr="001503A1">
        <w:rPr>
          <w:rFonts w:ascii="Times New Roman" w:eastAsia="宋体" w:hAnsi="Times New Roman" w:cs="Times New Roman"/>
          <w:color w:val="000000" w:themeColor="text1"/>
        </w:rPr>
        <w:t>至</w:t>
      </w:r>
      <w:r w:rsidRPr="001503A1">
        <w:rPr>
          <w:rFonts w:ascii="Times New Roman" w:eastAsia="宋体" w:hAnsi="Times New Roman" w:cs="Times New Roman"/>
          <w:i/>
          <w:iCs/>
          <w:color w:val="000000" w:themeColor="text1"/>
        </w:rPr>
        <w:t>t</w:t>
      </w:r>
      <w:r w:rsidRPr="001503A1">
        <w:rPr>
          <w:rFonts w:ascii="Times New Roman" w:eastAsia="宋体" w:hAnsi="Times New Roman" w:cs="Times New Roman"/>
          <w:color w:val="000000" w:themeColor="text1"/>
        </w:rPr>
        <w:t>+2</w:t>
      </w:r>
      <w:r w:rsidRPr="001503A1">
        <w:rPr>
          <w:rFonts w:ascii="Times New Roman" w:eastAsia="宋体" w:hAnsi="Times New Roman" w:cs="Times New Roman"/>
          <w:color w:val="000000" w:themeColor="text1"/>
        </w:rPr>
        <w:t>期经行业均值调整后的</w:t>
      </w:r>
      <w:r w:rsidRPr="001503A1">
        <w:rPr>
          <w:rFonts w:ascii="Times New Roman" w:eastAsia="宋体" w:hAnsi="Times New Roman" w:cs="Times New Roman"/>
          <w:i/>
          <w:iCs/>
          <w:color w:val="000000" w:themeColor="text1"/>
        </w:rPr>
        <w:t>OROA</w:t>
      </w:r>
      <w:r w:rsidRPr="001503A1">
        <w:rPr>
          <w:rFonts w:ascii="Times New Roman" w:eastAsia="宋体" w:hAnsi="Times New Roman" w:cs="Times New Roman"/>
          <w:color w:val="000000" w:themeColor="text1"/>
        </w:rPr>
        <w:t>（</w:t>
      </w:r>
      <w:r w:rsidRPr="001503A1">
        <w:rPr>
          <w:rFonts w:ascii="Times New Roman" w:eastAsia="宋体" w:hAnsi="Times New Roman" w:cs="Times New Roman"/>
          <w:i/>
          <w:iCs/>
          <w:color w:val="000000" w:themeColor="text1"/>
        </w:rPr>
        <w:t>OROA</w:t>
      </w:r>
      <w:r w:rsidRPr="001503A1">
        <w:rPr>
          <w:rFonts w:ascii="Times New Roman" w:eastAsia="宋体" w:hAnsi="Times New Roman" w:cs="Times New Roman"/>
          <w:color w:val="000000" w:themeColor="text1"/>
        </w:rPr>
        <w:t>等于公司营业利润与年末总资产之比）计算的盈余波动性（</w:t>
      </w:r>
      <w:r w:rsidRPr="001503A1">
        <w:rPr>
          <w:rFonts w:ascii="Times New Roman" w:eastAsia="宋体" w:hAnsi="Times New Roman" w:cs="Times New Roman"/>
          <w:i/>
          <w:iCs/>
          <w:color w:val="000000" w:themeColor="text1"/>
        </w:rPr>
        <w:t>Risk3</w:t>
      </w:r>
      <w:r w:rsidRPr="001503A1">
        <w:rPr>
          <w:rFonts w:ascii="Times New Roman" w:eastAsia="宋体" w:hAnsi="Times New Roman" w:cs="Times New Roman"/>
          <w:color w:val="000000" w:themeColor="text1"/>
        </w:rPr>
        <w:t>）和极差（</w:t>
      </w:r>
      <w:r w:rsidRPr="001503A1">
        <w:rPr>
          <w:rFonts w:ascii="Times New Roman" w:eastAsia="宋体" w:hAnsi="Times New Roman" w:cs="Times New Roman"/>
          <w:i/>
          <w:iCs/>
          <w:color w:val="000000" w:themeColor="text1"/>
        </w:rPr>
        <w:t>Risk4</w:t>
      </w:r>
      <w:r w:rsidRPr="001503A1">
        <w:rPr>
          <w:rFonts w:ascii="Times New Roman" w:eastAsia="宋体" w:hAnsi="Times New Roman" w:cs="Times New Roman"/>
          <w:color w:val="000000" w:themeColor="text1"/>
        </w:rPr>
        <w:t>）</w:t>
      </w:r>
      <w:r w:rsidRPr="001503A1">
        <w:rPr>
          <w:rFonts w:ascii="Times New Roman" w:eastAsia="宋体" w:hAnsi="Times New Roman" w:cs="Times New Roman" w:hint="eastAsia"/>
          <w:color w:val="000000" w:themeColor="text1"/>
        </w:rPr>
        <w:t>刻画；第三，以</w:t>
      </w:r>
      <w:r w:rsidRPr="001503A1">
        <w:rPr>
          <w:rFonts w:ascii="Times New Roman" w:eastAsia="宋体" w:hAnsi="Times New Roman" w:cs="Times New Roman" w:hint="eastAsia"/>
          <w:i/>
          <w:iCs/>
          <w:color w:val="000000" w:themeColor="text1"/>
        </w:rPr>
        <w:t>t</w:t>
      </w:r>
      <w:r w:rsidRPr="001503A1">
        <w:rPr>
          <w:rFonts w:ascii="Times New Roman" w:eastAsia="宋体" w:hAnsi="Times New Roman" w:cs="Times New Roman" w:hint="eastAsia"/>
          <w:color w:val="000000" w:themeColor="text1"/>
        </w:rPr>
        <w:t>-2</w:t>
      </w:r>
      <w:r w:rsidRPr="001503A1">
        <w:rPr>
          <w:rFonts w:ascii="Times New Roman" w:eastAsia="宋体" w:hAnsi="Times New Roman" w:cs="Times New Roman" w:hint="eastAsia"/>
          <w:color w:val="000000" w:themeColor="text1"/>
        </w:rPr>
        <w:t>至</w:t>
      </w:r>
      <w:r w:rsidRPr="001503A1">
        <w:rPr>
          <w:rFonts w:ascii="Times New Roman" w:eastAsia="宋体" w:hAnsi="Times New Roman" w:cs="Times New Roman" w:hint="eastAsia"/>
          <w:i/>
          <w:iCs/>
          <w:color w:val="000000" w:themeColor="text1"/>
        </w:rPr>
        <w:t>t</w:t>
      </w:r>
      <w:r w:rsidRPr="001503A1">
        <w:rPr>
          <w:rFonts w:ascii="Times New Roman" w:eastAsia="宋体" w:hAnsi="Times New Roman" w:cs="Times New Roman" w:hint="eastAsia"/>
          <w:color w:val="000000" w:themeColor="text1"/>
        </w:rPr>
        <w:t>+2</w:t>
      </w:r>
      <w:r w:rsidRPr="001503A1">
        <w:rPr>
          <w:rFonts w:ascii="Times New Roman" w:eastAsia="宋体" w:hAnsi="Times New Roman" w:cs="Times New Roman" w:hint="eastAsia"/>
          <w:color w:val="000000" w:themeColor="text1"/>
        </w:rPr>
        <w:t>期经行业均值调整后的</w:t>
      </w:r>
      <w:r w:rsidRPr="001503A1">
        <w:rPr>
          <w:rFonts w:ascii="Times New Roman" w:eastAsia="宋体" w:hAnsi="Times New Roman" w:cs="Times New Roman" w:hint="eastAsia"/>
          <w:i/>
          <w:iCs/>
          <w:color w:val="000000" w:themeColor="text1"/>
        </w:rPr>
        <w:t>Roa</w:t>
      </w:r>
      <w:r w:rsidRPr="001503A1">
        <w:rPr>
          <w:rFonts w:ascii="Times New Roman" w:eastAsia="宋体" w:hAnsi="Times New Roman" w:cs="Times New Roman" w:hint="eastAsia"/>
          <w:color w:val="000000" w:themeColor="text1"/>
        </w:rPr>
        <w:t>计算的盈余波动性（</w:t>
      </w:r>
      <w:r w:rsidRPr="001503A1">
        <w:rPr>
          <w:rFonts w:ascii="Times New Roman" w:eastAsia="宋体" w:hAnsi="Times New Roman" w:cs="Times New Roman" w:hint="eastAsia"/>
          <w:i/>
          <w:iCs/>
          <w:color w:val="000000" w:themeColor="text1"/>
        </w:rPr>
        <w:t>Risk5</w:t>
      </w:r>
      <w:r w:rsidRPr="001503A1">
        <w:rPr>
          <w:rFonts w:ascii="Times New Roman" w:eastAsia="宋体" w:hAnsi="Times New Roman" w:cs="Times New Roman" w:hint="eastAsia"/>
          <w:color w:val="000000" w:themeColor="text1"/>
        </w:rPr>
        <w:t>）和极差（</w:t>
      </w:r>
      <w:r w:rsidRPr="001503A1">
        <w:rPr>
          <w:rFonts w:ascii="Times New Roman" w:eastAsia="宋体" w:hAnsi="Times New Roman" w:cs="Times New Roman" w:hint="eastAsia"/>
          <w:i/>
          <w:iCs/>
          <w:color w:val="000000" w:themeColor="text1"/>
        </w:rPr>
        <w:t>Risk6</w:t>
      </w:r>
      <w:r w:rsidRPr="001503A1">
        <w:rPr>
          <w:rFonts w:ascii="Times New Roman" w:eastAsia="宋体" w:hAnsi="Times New Roman" w:cs="Times New Roman" w:hint="eastAsia"/>
          <w:color w:val="000000" w:themeColor="text1"/>
        </w:rPr>
        <w:t>）刻画。第四，参考既有研究（</w:t>
      </w:r>
      <w:r w:rsidRPr="001503A1">
        <w:rPr>
          <w:rFonts w:ascii="Times New Roman" w:eastAsia="宋体" w:hAnsi="Times New Roman" w:cs="Times New Roman"/>
          <w:color w:val="000000" w:themeColor="text1"/>
        </w:rPr>
        <w:t>Nakano</w:t>
      </w:r>
      <w:r w:rsidRPr="001503A1">
        <w:rPr>
          <w:rFonts w:ascii="Times New Roman" w:eastAsia="宋体" w:hAnsi="Times New Roman" w:cs="Times New Roman" w:hint="eastAsia"/>
          <w:color w:val="000000" w:themeColor="text1"/>
        </w:rPr>
        <w:t>和</w:t>
      </w:r>
      <w:r w:rsidRPr="001503A1">
        <w:rPr>
          <w:rFonts w:ascii="Times New Roman" w:eastAsia="宋体" w:hAnsi="Times New Roman" w:cs="Times New Roman"/>
          <w:color w:val="000000" w:themeColor="text1"/>
        </w:rPr>
        <w:t>Nguyen</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2012</w:t>
      </w:r>
      <w:r w:rsidRPr="001503A1">
        <w:rPr>
          <w:rFonts w:ascii="Times New Roman" w:eastAsia="宋体" w:hAnsi="Times New Roman" w:cs="Times New Roman"/>
          <w:color w:val="000000" w:themeColor="text1"/>
        </w:rPr>
        <w:t>；苏坤等，</w:t>
      </w:r>
      <w:r w:rsidRPr="001503A1">
        <w:rPr>
          <w:rFonts w:ascii="Times New Roman" w:eastAsia="宋体" w:hAnsi="Times New Roman" w:cs="Times New Roman"/>
          <w:color w:val="000000" w:themeColor="text1"/>
        </w:rPr>
        <w:t>2015</w:t>
      </w:r>
      <w:r w:rsidRPr="001503A1">
        <w:rPr>
          <w:rFonts w:ascii="Times New Roman" w:eastAsia="宋体" w:hAnsi="Times New Roman" w:cs="Times New Roman"/>
          <w:color w:val="000000" w:themeColor="text1"/>
        </w:rPr>
        <w:t>）</w:t>
      </w:r>
      <w:r w:rsidRPr="001503A1">
        <w:rPr>
          <w:rFonts w:ascii="Times New Roman" w:eastAsia="宋体" w:hAnsi="Times New Roman" w:cs="Times New Roman" w:hint="eastAsia"/>
          <w:color w:val="000000" w:themeColor="text1"/>
        </w:rPr>
        <w:t>，采用股票年化日收益率标准差的对数值（</w:t>
      </w:r>
      <w:r w:rsidRPr="001503A1">
        <w:rPr>
          <w:rFonts w:ascii="Times New Roman" w:eastAsia="宋体" w:hAnsi="Times New Roman" w:cs="Times New Roman" w:hint="eastAsia"/>
          <w:i/>
          <w:iCs/>
          <w:color w:val="000000" w:themeColor="text1"/>
        </w:rPr>
        <w:t>C</w:t>
      </w:r>
      <w:r w:rsidRPr="001503A1">
        <w:rPr>
          <w:rFonts w:ascii="Times New Roman" w:eastAsia="宋体" w:hAnsi="Times New Roman" w:cs="Times New Roman"/>
          <w:i/>
          <w:iCs/>
          <w:color w:val="000000" w:themeColor="text1"/>
        </w:rPr>
        <w:t>RT</w:t>
      </w:r>
      <w:r w:rsidRPr="001503A1">
        <w:rPr>
          <w:rFonts w:ascii="Times New Roman" w:eastAsia="宋体" w:hAnsi="Times New Roman" w:cs="Times New Roman" w:hint="eastAsia"/>
          <w:color w:val="000000" w:themeColor="text1"/>
        </w:rPr>
        <w:t>）来衡量</w:t>
      </w:r>
      <w:r w:rsidR="000D6B28" w:rsidRPr="001503A1">
        <w:rPr>
          <w:rFonts w:ascii="Times New Roman" w:eastAsia="宋体" w:hAnsi="Times New Roman" w:cs="Times New Roman" w:hint="eastAsia"/>
          <w:color w:val="000000" w:themeColor="text1"/>
        </w:rPr>
        <w:t>国有</w:t>
      </w:r>
      <w:r w:rsidRPr="001503A1">
        <w:rPr>
          <w:rFonts w:ascii="Times New Roman" w:eastAsia="宋体" w:hAnsi="Times New Roman" w:cs="Times New Roman" w:hint="eastAsia"/>
          <w:color w:val="000000" w:themeColor="text1"/>
        </w:rPr>
        <w:t>企业风险承担。然后以上述变量作为计量模型（</w:t>
      </w:r>
      <w:r w:rsidRPr="001503A1">
        <w:rPr>
          <w:rFonts w:ascii="Times New Roman" w:eastAsia="宋体" w:hAnsi="Times New Roman" w:cs="Times New Roman" w:hint="eastAsia"/>
          <w:color w:val="000000" w:themeColor="text1"/>
        </w:rPr>
        <w:t>1</w:t>
      </w:r>
      <w:r w:rsidRPr="001503A1">
        <w:rPr>
          <w:rFonts w:ascii="Times New Roman" w:eastAsia="宋体" w:hAnsi="Times New Roman" w:cs="Times New Roman" w:hint="eastAsia"/>
          <w:color w:val="000000" w:themeColor="text1"/>
        </w:rPr>
        <w:t>）的被解释变量进行重新估计，回归</w:t>
      </w:r>
      <w:r w:rsidRPr="001503A1">
        <w:rPr>
          <w:rFonts w:ascii="Times New Roman" w:eastAsia="宋体" w:hAnsi="Times New Roman" w:cs="Times New Roman"/>
          <w:color w:val="000000" w:themeColor="text1"/>
        </w:rPr>
        <w:t>结果</w:t>
      </w:r>
      <w:r w:rsidRPr="001503A1">
        <w:rPr>
          <w:rFonts w:ascii="Times New Roman" w:eastAsia="宋体" w:hAnsi="Times New Roman" w:cs="Times New Roman" w:hint="eastAsia"/>
          <w:color w:val="000000" w:themeColor="text1"/>
        </w:rPr>
        <w:t>如</w:t>
      </w:r>
      <w:r w:rsidR="002808E7" w:rsidRPr="001503A1">
        <w:rPr>
          <w:rFonts w:ascii="Times New Roman" w:eastAsia="宋体" w:hAnsi="Times New Roman" w:cs="Times New Roman" w:hint="eastAsia"/>
          <w:color w:val="000000" w:themeColor="text1"/>
        </w:rPr>
        <w:t>附表</w:t>
      </w:r>
      <w:r w:rsidR="002808E7" w:rsidRPr="001503A1">
        <w:rPr>
          <w:rFonts w:ascii="Times New Roman" w:eastAsia="宋体" w:hAnsi="Times New Roman" w:cs="Times New Roman" w:hint="eastAsia"/>
          <w:color w:val="000000" w:themeColor="text1"/>
        </w:rPr>
        <w:t>4</w:t>
      </w:r>
      <w:r w:rsidRPr="001503A1">
        <w:rPr>
          <w:rFonts w:ascii="Times New Roman" w:eastAsia="宋体" w:hAnsi="Times New Roman" w:cs="Times New Roman" w:hint="eastAsia"/>
          <w:color w:val="000000" w:themeColor="text1"/>
        </w:rPr>
        <w:t>所示</w:t>
      </w:r>
      <w:r w:rsidRPr="001503A1">
        <w:rPr>
          <w:rFonts w:ascii="Times New Roman" w:eastAsia="宋体" w:hAnsi="Times New Roman" w:cs="Times New Roman"/>
          <w:color w:val="000000" w:themeColor="text1"/>
        </w:rPr>
        <w:t>。可以发现，无论以何种方式定义</w:t>
      </w:r>
      <w:r w:rsidR="000D6B28" w:rsidRPr="001503A1">
        <w:rPr>
          <w:rFonts w:ascii="Times New Roman" w:eastAsia="宋体" w:hAnsi="Times New Roman" w:cs="Times New Roman" w:hint="eastAsia"/>
          <w:color w:val="000000" w:themeColor="text1"/>
        </w:rPr>
        <w:t>国有</w:t>
      </w:r>
      <w:r w:rsidRPr="001503A1">
        <w:rPr>
          <w:rFonts w:ascii="Times New Roman" w:eastAsia="宋体" w:hAnsi="Times New Roman" w:cs="Times New Roman"/>
          <w:color w:val="000000" w:themeColor="text1"/>
        </w:rPr>
        <w:t>企业风险承担水平，</w:t>
      </w:r>
      <w:r w:rsidRPr="001503A1">
        <w:rPr>
          <w:rFonts w:ascii="Times New Roman" w:eastAsia="宋体" w:hAnsi="Times New Roman" w:cs="Times New Roman" w:hint="eastAsia"/>
          <w:color w:val="000000" w:themeColor="text1"/>
        </w:rPr>
        <w:t>核心解释变量</w:t>
      </w:r>
      <w:r w:rsidRPr="001503A1">
        <w:rPr>
          <w:rFonts w:ascii="Times New Roman" w:eastAsia="宋体" w:hAnsi="Times New Roman" w:cs="Times New Roman" w:hint="eastAsia"/>
          <w:i/>
          <w:iCs/>
          <w:color w:val="000000" w:themeColor="text1"/>
        </w:rPr>
        <w:t>Transfer</w:t>
      </w:r>
      <w:r w:rsidRPr="001503A1">
        <w:rPr>
          <w:rFonts w:ascii="Times New Roman" w:eastAsia="宋体" w:hAnsi="Times New Roman" w:cs="Times New Roman" w:hint="eastAsia"/>
          <w:color w:val="000000" w:themeColor="text1"/>
        </w:rPr>
        <w:t>的估计系数均显著为负，核心结论仍然稳健</w:t>
      </w:r>
      <w:r w:rsidRPr="001503A1">
        <w:rPr>
          <w:rFonts w:ascii="Times New Roman" w:eastAsia="宋体" w:hAnsi="Times New Roman" w:cs="Times New Roman"/>
          <w:color w:val="000000" w:themeColor="text1"/>
        </w:rPr>
        <w:t>。</w:t>
      </w:r>
    </w:p>
    <w:p w14:paraId="64A603FC" w14:textId="26337EAB" w:rsidR="001A124A" w:rsidRPr="001503A1" w:rsidRDefault="002808E7" w:rsidP="001A124A">
      <w:pPr>
        <w:ind w:firstLineChars="200" w:firstLine="422"/>
        <w:contextualSpacing/>
        <w:jc w:val="left"/>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w:t>
      </w:r>
      <w:r w:rsidR="001A124A" w:rsidRPr="001503A1">
        <w:rPr>
          <w:rFonts w:ascii="Times New Roman" w:eastAsia="黑体" w:hAnsi="Times New Roman" w:cs="Times New Roman"/>
          <w:b/>
          <w:bCs/>
          <w:color w:val="000000" w:themeColor="text1"/>
          <w:szCs w:val="21"/>
        </w:rPr>
        <w:t>表</w:t>
      </w:r>
      <w:r w:rsidRPr="001503A1">
        <w:rPr>
          <w:rFonts w:ascii="Times New Roman" w:eastAsia="黑体" w:hAnsi="Times New Roman" w:cs="Times New Roman"/>
          <w:b/>
          <w:bCs/>
          <w:color w:val="000000" w:themeColor="text1"/>
          <w:szCs w:val="21"/>
        </w:rPr>
        <w:t>4</w:t>
      </w:r>
      <w:r w:rsidR="001A124A" w:rsidRPr="001503A1">
        <w:rPr>
          <w:rFonts w:ascii="Times New Roman" w:eastAsia="黑体" w:hAnsi="Times New Roman" w:cs="Times New Roman"/>
          <w:b/>
          <w:bCs/>
          <w:color w:val="000000" w:themeColor="text1"/>
          <w:szCs w:val="21"/>
        </w:rPr>
        <w:t xml:space="preserve">                          </w:t>
      </w:r>
      <w:r w:rsidR="001A124A" w:rsidRPr="001503A1">
        <w:rPr>
          <w:rFonts w:ascii="Times New Roman" w:eastAsia="黑体" w:hAnsi="Times New Roman" w:cs="Times New Roman"/>
          <w:b/>
          <w:bCs/>
          <w:color w:val="000000" w:themeColor="text1"/>
          <w:szCs w:val="21"/>
        </w:rPr>
        <w:t>改变企业风险承担定义方式</w:t>
      </w:r>
    </w:p>
    <w:tbl>
      <w:tblPr>
        <w:tblW w:w="5000" w:type="pct"/>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058"/>
        <w:gridCol w:w="1167"/>
        <w:gridCol w:w="1277"/>
        <w:gridCol w:w="1201"/>
        <w:gridCol w:w="1201"/>
        <w:gridCol w:w="1201"/>
        <w:gridCol w:w="1201"/>
      </w:tblGrid>
      <w:tr w:rsidR="001503A1" w:rsidRPr="001503A1" w14:paraId="2D1E4F27" w14:textId="77777777" w:rsidTr="00746B28">
        <w:trPr>
          <w:jc w:val="center"/>
        </w:trPr>
        <w:tc>
          <w:tcPr>
            <w:tcW w:w="636" w:type="pct"/>
            <w:vMerge w:val="restart"/>
            <w:vAlign w:val="center"/>
          </w:tcPr>
          <w:p w14:paraId="4FF3C937"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变量</w:t>
            </w:r>
          </w:p>
        </w:tc>
        <w:tc>
          <w:tcPr>
            <w:tcW w:w="702" w:type="pct"/>
            <w:vAlign w:val="center"/>
          </w:tcPr>
          <w:p w14:paraId="567B27AF"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(1)</w:t>
            </w:r>
          </w:p>
        </w:tc>
        <w:tc>
          <w:tcPr>
            <w:tcW w:w="768" w:type="pct"/>
            <w:vAlign w:val="center"/>
          </w:tcPr>
          <w:p w14:paraId="4DAE4335"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(2)</w:t>
            </w:r>
          </w:p>
        </w:tc>
        <w:tc>
          <w:tcPr>
            <w:tcW w:w="723" w:type="pct"/>
            <w:vAlign w:val="center"/>
          </w:tcPr>
          <w:p w14:paraId="315531E7"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(3)</w:t>
            </w:r>
          </w:p>
        </w:tc>
        <w:tc>
          <w:tcPr>
            <w:tcW w:w="723" w:type="pct"/>
            <w:vAlign w:val="center"/>
          </w:tcPr>
          <w:p w14:paraId="2C68491B"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4</w:t>
            </w:r>
            <w:r w:rsidRPr="001503A1">
              <w:rPr>
                <w:rFonts w:ascii="Times New Roman" w:eastAsia="宋体" w:hAnsi="Times New Roman" w:cs="Times New Roman"/>
                <w:color w:val="000000" w:themeColor="text1"/>
                <w:kern w:val="0"/>
                <w:sz w:val="18"/>
                <w:szCs w:val="18"/>
              </w:rPr>
              <w:t>)</w:t>
            </w:r>
          </w:p>
        </w:tc>
        <w:tc>
          <w:tcPr>
            <w:tcW w:w="723" w:type="pct"/>
            <w:vAlign w:val="center"/>
          </w:tcPr>
          <w:p w14:paraId="37C950A6"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5</w:t>
            </w:r>
            <w:r w:rsidRPr="001503A1">
              <w:rPr>
                <w:rFonts w:ascii="Times New Roman" w:eastAsia="宋体" w:hAnsi="Times New Roman" w:cs="Times New Roman"/>
                <w:color w:val="000000" w:themeColor="text1"/>
                <w:kern w:val="0"/>
                <w:sz w:val="18"/>
                <w:szCs w:val="18"/>
              </w:rPr>
              <w:t>)</w:t>
            </w:r>
          </w:p>
        </w:tc>
        <w:tc>
          <w:tcPr>
            <w:tcW w:w="723" w:type="pct"/>
            <w:vAlign w:val="center"/>
          </w:tcPr>
          <w:p w14:paraId="4127C0DA"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(6)</w:t>
            </w:r>
          </w:p>
        </w:tc>
      </w:tr>
      <w:tr w:rsidR="001503A1" w:rsidRPr="001503A1" w14:paraId="525F1D5D" w14:textId="77777777" w:rsidTr="00746B28">
        <w:trPr>
          <w:jc w:val="center"/>
        </w:trPr>
        <w:tc>
          <w:tcPr>
            <w:tcW w:w="636" w:type="pct"/>
            <w:vMerge/>
            <w:tcBorders>
              <w:bottom w:val="single" w:sz="4" w:space="0" w:color="auto"/>
            </w:tcBorders>
            <w:vAlign w:val="center"/>
          </w:tcPr>
          <w:p w14:paraId="7ECF4A7B"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p>
        </w:tc>
        <w:tc>
          <w:tcPr>
            <w:tcW w:w="702" w:type="pct"/>
            <w:tcBorders>
              <w:bottom w:val="single" w:sz="4" w:space="0" w:color="auto"/>
            </w:tcBorders>
            <w:vAlign w:val="center"/>
          </w:tcPr>
          <w:p w14:paraId="71693D2D"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Risk2</w:t>
            </w:r>
          </w:p>
        </w:tc>
        <w:tc>
          <w:tcPr>
            <w:tcW w:w="768" w:type="pct"/>
            <w:tcBorders>
              <w:bottom w:val="single" w:sz="4" w:space="0" w:color="auto"/>
            </w:tcBorders>
            <w:vAlign w:val="center"/>
          </w:tcPr>
          <w:p w14:paraId="6D5CE826"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Risk3</w:t>
            </w:r>
          </w:p>
        </w:tc>
        <w:tc>
          <w:tcPr>
            <w:tcW w:w="723" w:type="pct"/>
            <w:tcBorders>
              <w:bottom w:val="single" w:sz="4" w:space="0" w:color="auto"/>
            </w:tcBorders>
            <w:vAlign w:val="center"/>
          </w:tcPr>
          <w:p w14:paraId="2042DCF0"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Risk4</w:t>
            </w:r>
          </w:p>
        </w:tc>
        <w:tc>
          <w:tcPr>
            <w:tcW w:w="723" w:type="pct"/>
            <w:tcBorders>
              <w:bottom w:val="single" w:sz="4" w:space="0" w:color="auto"/>
            </w:tcBorders>
            <w:vAlign w:val="center"/>
          </w:tcPr>
          <w:p w14:paraId="4022A2A7"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r w:rsidRPr="001503A1">
              <w:rPr>
                <w:rFonts w:ascii="Times New Roman" w:eastAsia="宋体" w:hAnsi="Times New Roman" w:cs="Times New Roman" w:hint="eastAsia"/>
                <w:i/>
                <w:iCs/>
                <w:color w:val="000000" w:themeColor="text1"/>
                <w:kern w:val="0"/>
                <w:sz w:val="18"/>
                <w:szCs w:val="18"/>
              </w:rPr>
              <w:t>5</w:t>
            </w:r>
          </w:p>
        </w:tc>
        <w:tc>
          <w:tcPr>
            <w:tcW w:w="723" w:type="pct"/>
            <w:tcBorders>
              <w:bottom w:val="single" w:sz="4" w:space="0" w:color="auto"/>
            </w:tcBorders>
            <w:vAlign w:val="center"/>
          </w:tcPr>
          <w:p w14:paraId="0BC6B4BE"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r w:rsidRPr="001503A1">
              <w:rPr>
                <w:rFonts w:ascii="Times New Roman" w:eastAsia="宋体" w:hAnsi="Times New Roman" w:cs="Times New Roman" w:hint="eastAsia"/>
                <w:i/>
                <w:iCs/>
                <w:color w:val="000000" w:themeColor="text1"/>
                <w:kern w:val="0"/>
                <w:sz w:val="18"/>
                <w:szCs w:val="18"/>
              </w:rPr>
              <w:t>6</w:t>
            </w:r>
          </w:p>
        </w:tc>
        <w:tc>
          <w:tcPr>
            <w:tcW w:w="723" w:type="pct"/>
            <w:tcBorders>
              <w:bottom w:val="single" w:sz="4" w:space="0" w:color="auto"/>
            </w:tcBorders>
            <w:vAlign w:val="center"/>
          </w:tcPr>
          <w:p w14:paraId="611088DB"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CRT</w:t>
            </w:r>
          </w:p>
        </w:tc>
      </w:tr>
      <w:tr w:rsidR="001503A1" w:rsidRPr="001503A1" w14:paraId="3B8E420E" w14:textId="77777777" w:rsidTr="00746B28">
        <w:trPr>
          <w:jc w:val="center"/>
        </w:trPr>
        <w:tc>
          <w:tcPr>
            <w:tcW w:w="636" w:type="pct"/>
            <w:vMerge w:val="restart"/>
            <w:tcBorders>
              <w:bottom w:val="nil"/>
            </w:tcBorders>
            <w:vAlign w:val="center"/>
          </w:tcPr>
          <w:p w14:paraId="25F65087" w14:textId="77777777" w:rsidR="001A124A" w:rsidRPr="001503A1" w:rsidRDefault="001A124A" w:rsidP="001A124A">
            <w:pPr>
              <w:autoSpaceDE w:val="0"/>
              <w:autoSpaceDN w:val="0"/>
              <w:contextualSpacing/>
              <w:jc w:val="center"/>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Transfer</w:t>
            </w:r>
          </w:p>
        </w:tc>
        <w:tc>
          <w:tcPr>
            <w:tcW w:w="702" w:type="pct"/>
            <w:tcBorders>
              <w:bottom w:val="nil"/>
            </w:tcBorders>
          </w:tcPr>
          <w:p w14:paraId="757C196A"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-0.0117</w:t>
            </w:r>
            <w:r w:rsidRPr="001503A1">
              <w:rPr>
                <w:rFonts w:ascii="Times New Roman" w:eastAsia="楷体" w:hAnsi="Times New Roman" w:cs="Times New Roman"/>
                <w:color w:val="000000" w:themeColor="text1"/>
                <w:kern w:val="0"/>
                <w:sz w:val="18"/>
                <w:szCs w:val="18"/>
                <w:vertAlign w:val="superscript"/>
              </w:rPr>
              <w:t>***</w:t>
            </w:r>
          </w:p>
        </w:tc>
        <w:tc>
          <w:tcPr>
            <w:tcW w:w="768" w:type="pct"/>
            <w:tcBorders>
              <w:bottom w:val="nil"/>
            </w:tcBorders>
          </w:tcPr>
          <w:p w14:paraId="34E7F790"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-0.0069</w:t>
            </w:r>
            <w:r w:rsidRPr="001503A1">
              <w:rPr>
                <w:rFonts w:ascii="Times New Roman" w:eastAsia="楷体" w:hAnsi="Times New Roman" w:cs="Times New Roman"/>
                <w:color w:val="000000" w:themeColor="text1"/>
                <w:kern w:val="0"/>
                <w:sz w:val="18"/>
                <w:szCs w:val="18"/>
                <w:vertAlign w:val="superscript"/>
              </w:rPr>
              <w:t>***</w:t>
            </w:r>
          </w:p>
        </w:tc>
        <w:tc>
          <w:tcPr>
            <w:tcW w:w="723" w:type="pct"/>
            <w:tcBorders>
              <w:bottom w:val="nil"/>
            </w:tcBorders>
          </w:tcPr>
          <w:p w14:paraId="4211131F"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-0.0125</w:t>
            </w:r>
            <w:r w:rsidRPr="001503A1">
              <w:rPr>
                <w:rFonts w:ascii="Times New Roman" w:eastAsia="楷体" w:hAnsi="Times New Roman" w:cs="Times New Roman"/>
                <w:color w:val="000000" w:themeColor="text1"/>
                <w:kern w:val="0"/>
                <w:sz w:val="18"/>
                <w:szCs w:val="18"/>
                <w:vertAlign w:val="superscript"/>
              </w:rPr>
              <w:t>***</w:t>
            </w:r>
          </w:p>
        </w:tc>
        <w:tc>
          <w:tcPr>
            <w:tcW w:w="723" w:type="pct"/>
            <w:tcBorders>
              <w:bottom w:val="nil"/>
            </w:tcBorders>
          </w:tcPr>
          <w:p w14:paraId="241774DD"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-0.0033</w:t>
            </w:r>
            <w:r w:rsidRPr="001503A1">
              <w:rPr>
                <w:rFonts w:ascii="Times New Roman" w:eastAsia="楷体" w:hAnsi="Times New Roman" w:cs="Times New Roman"/>
                <w:color w:val="000000" w:themeColor="text1"/>
                <w:kern w:val="0"/>
                <w:sz w:val="18"/>
                <w:szCs w:val="18"/>
                <w:vertAlign w:val="superscript"/>
              </w:rPr>
              <w:t>*</w:t>
            </w:r>
          </w:p>
        </w:tc>
        <w:tc>
          <w:tcPr>
            <w:tcW w:w="723" w:type="pct"/>
            <w:tcBorders>
              <w:bottom w:val="nil"/>
            </w:tcBorders>
          </w:tcPr>
          <w:p w14:paraId="32EB0BA4"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-0.0080</w:t>
            </w:r>
            <w:r w:rsidRPr="001503A1">
              <w:rPr>
                <w:rFonts w:ascii="Times New Roman" w:eastAsia="楷体" w:hAnsi="Times New Roman" w:cs="Times New Roman"/>
                <w:color w:val="000000" w:themeColor="text1"/>
                <w:kern w:val="0"/>
                <w:sz w:val="18"/>
                <w:szCs w:val="18"/>
                <w:vertAlign w:val="superscript"/>
              </w:rPr>
              <w:t>**</w:t>
            </w:r>
          </w:p>
        </w:tc>
        <w:tc>
          <w:tcPr>
            <w:tcW w:w="723" w:type="pct"/>
            <w:tcBorders>
              <w:bottom w:val="nil"/>
            </w:tcBorders>
          </w:tcPr>
          <w:p w14:paraId="7E2A65BF"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-0.4563</w:t>
            </w:r>
            <w:r w:rsidRPr="001503A1">
              <w:rPr>
                <w:rFonts w:ascii="Times New Roman" w:eastAsia="楷体" w:hAnsi="Times New Roman" w:cs="Times New Roman"/>
                <w:color w:val="000000" w:themeColor="text1"/>
                <w:kern w:val="0"/>
                <w:sz w:val="18"/>
                <w:szCs w:val="18"/>
                <w:vertAlign w:val="superscript"/>
              </w:rPr>
              <w:t>*</w:t>
            </w:r>
          </w:p>
        </w:tc>
      </w:tr>
      <w:tr w:rsidR="001503A1" w:rsidRPr="001503A1" w14:paraId="18B36389" w14:textId="77777777" w:rsidTr="00746B28">
        <w:trPr>
          <w:jc w:val="center"/>
        </w:trPr>
        <w:tc>
          <w:tcPr>
            <w:tcW w:w="636" w:type="pct"/>
            <w:vMerge/>
            <w:tcBorders>
              <w:top w:val="nil"/>
              <w:bottom w:val="nil"/>
            </w:tcBorders>
            <w:vAlign w:val="center"/>
          </w:tcPr>
          <w:p w14:paraId="5B88DBB1"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p>
        </w:tc>
        <w:tc>
          <w:tcPr>
            <w:tcW w:w="702" w:type="pct"/>
            <w:tcBorders>
              <w:top w:val="nil"/>
              <w:bottom w:val="nil"/>
            </w:tcBorders>
          </w:tcPr>
          <w:p w14:paraId="2C60EF84"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(0.0032)</w:t>
            </w:r>
          </w:p>
        </w:tc>
        <w:tc>
          <w:tcPr>
            <w:tcW w:w="768" w:type="pct"/>
            <w:tcBorders>
              <w:top w:val="nil"/>
              <w:bottom w:val="nil"/>
            </w:tcBorders>
          </w:tcPr>
          <w:p w14:paraId="1DD1691B"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(0.0018)</w:t>
            </w:r>
          </w:p>
        </w:tc>
        <w:tc>
          <w:tcPr>
            <w:tcW w:w="723" w:type="pct"/>
            <w:tcBorders>
              <w:top w:val="nil"/>
              <w:bottom w:val="nil"/>
            </w:tcBorders>
          </w:tcPr>
          <w:p w14:paraId="05B9F599"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(0.0031)</w:t>
            </w:r>
          </w:p>
        </w:tc>
        <w:tc>
          <w:tcPr>
            <w:tcW w:w="723" w:type="pct"/>
            <w:tcBorders>
              <w:top w:val="nil"/>
              <w:bottom w:val="nil"/>
            </w:tcBorders>
          </w:tcPr>
          <w:p w14:paraId="4A0F9851"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(0.0017)</w:t>
            </w:r>
          </w:p>
        </w:tc>
        <w:tc>
          <w:tcPr>
            <w:tcW w:w="723" w:type="pct"/>
            <w:tcBorders>
              <w:top w:val="nil"/>
              <w:bottom w:val="nil"/>
            </w:tcBorders>
          </w:tcPr>
          <w:p w14:paraId="53533BEF"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(0.0040)</w:t>
            </w:r>
          </w:p>
        </w:tc>
        <w:tc>
          <w:tcPr>
            <w:tcW w:w="723" w:type="pct"/>
            <w:tcBorders>
              <w:top w:val="nil"/>
              <w:bottom w:val="nil"/>
            </w:tcBorders>
          </w:tcPr>
          <w:p w14:paraId="3B2F17DE"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(0.2652)</w:t>
            </w:r>
          </w:p>
        </w:tc>
      </w:tr>
      <w:tr w:rsidR="001503A1" w:rsidRPr="001503A1" w14:paraId="628DA146" w14:textId="77777777" w:rsidTr="00746B28">
        <w:trPr>
          <w:jc w:val="center"/>
        </w:trPr>
        <w:tc>
          <w:tcPr>
            <w:tcW w:w="636" w:type="pct"/>
            <w:tcBorders>
              <w:top w:val="nil"/>
              <w:bottom w:val="nil"/>
            </w:tcBorders>
            <w:vAlign w:val="center"/>
          </w:tcPr>
          <w:p w14:paraId="34FE47FA"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控制变量</w:t>
            </w:r>
          </w:p>
        </w:tc>
        <w:tc>
          <w:tcPr>
            <w:tcW w:w="702" w:type="pct"/>
            <w:tcBorders>
              <w:top w:val="nil"/>
              <w:bottom w:val="nil"/>
            </w:tcBorders>
          </w:tcPr>
          <w:p w14:paraId="1A1C070F"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68" w:type="pct"/>
            <w:tcBorders>
              <w:top w:val="nil"/>
              <w:bottom w:val="nil"/>
            </w:tcBorders>
          </w:tcPr>
          <w:p w14:paraId="404777A2"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nil"/>
            </w:tcBorders>
          </w:tcPr>
          <w:p w14:paraId="10C549A3"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nil"/>
            </w:tcBorders>
          </w:tcPr>
          <w:p w14:paraId="7BA6A623"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nil"/>
            </w:tcBorders>
          </w:tcPr>
          <w:p w14:paraId="43408832"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nil"/>
            </w:tcBorders>
          </w:tcPr>
          <w:p w14:paraId="1DB5CD31"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r>
      <w:tr w:rsidR="001503A1" w:rsidRPr="001503A1" w14:paraId="41661835" w14:textId="77777777" w:rsidTr="00746B28">
        <w:trPr>
          <w:jc w:val="center"/>
        </w:trPr>
        <w:tc>
          <w:tcPr>
            <w:tcW w:w="636" w:type="pct"/>
            <w:tcBorders>
              <w:top w:val="nil"/>
              <w:bottom w:val="nil"/>
            </w:tcBorders>
            <w:vAlign w:val="center"/>
          </w:tcPr>
          <w:p w14:paraId="6E70D76A"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个体效应</w:t>
            </w:r>
          </w:p>
        </w:tc>
        <w:tc>
          <w:tcPr>
            <w:tcW w:w="702" w:type="pct"/>
            <w:tcBorders>
              <w:top w:val="nil"/>
              <w:bottom w:val="nil"/>
            </w:tcBorders>
          </w:tcPr>
          <w:p w14:paraId="7A04E74E"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68" w:type="pct"/>
            <w:tcBorders>
              <w:top w:val="nil"/>
              <w:bottom w:val="nil"/>
            </w:tcBorders>
          </w:tcPr>
          <w:p w14:paraId="292A8776"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nil"/>
            </w:tcBorders>
          </w:tcPr>
          <w:p w14:paraId="5F9B718A"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nil"/>
            </w:tcBorders>
          </w:tcPr>
          <w:p w14:paraId="695F9365"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nil"/>
            </w:tcBorders>
          </w:tcPr>
          <w:p w14:paraId="12A688D9"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nil"/>
            </w:tcBorders>
          </w:tcPr>
          <w:p w14:paraId="19DCA9AD"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r>
      <w:tr w:rsidR="001503A1" w:rsidRPr="001503A1" w14:paraId="05FF5AAE" w14:textId="77777777" w:rsidTr="00746B28">
        <w:trPr>
          <w:jc w:val="center"/>
        </w:trPr>
        <w:tc>
          <w:tcPr>
            <w:tcW w:w="636" w:type="pct"/>
            <w:tcBorders>
              <w:top w:val="nil"/>
              <w:bottom w:val="single" w:sz="4" w:space="0" w:color="auto"/>
            </w:tcBorders>
            <w:vAlign w:val="center"/>
          </w:tcPr>
          <w:p w14:paraId="04BB723D"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时间效应</w:t>
            </w:r>
          </w:p>
        </w:tc>
        <w:tc>
          <w:tcPr>
            <w:tcW w:w="702" w:type="pct"/>
            <w:tcBorders>
              <w:top w:val="nil"/>
              <w:bottom w:val="single" w:sz="4" w:space="0" w:color="auto"/>
            </w:tcBorders>
          </w:tcPr>
          <w:p w14:paraId="261A3E7E"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68" w:type="pct"/>
            <w:tcBorders>
              <w:top w:val="nil"/>
              <w:bottom w:val="single" w:sz="4" w:space="0" w:color="auto"/>
            </w:tcBorders>
          </w:tcPr>
          <w:p w14:paraId="57DC2151"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single" w:sz="4" w:space="0" w:color="auto"/>
            </w:tcBorders>
          </w:tcPr>
          <w:p w14:paraId="32F70D73"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single" w:sz="4" w:space="0" w:color="auto"/>
            </w:tcBorders>
          </w:tcPr>
          <w:p w14:paraId="4ACBB344"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single" w:sz="4" w:space="0" w:color="auto"/>
            </w:tcBorders>
          </w:tcPr>
          <w:p w14:paraId="03A92447"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723" w:type="pct"/>
            <w:tcBorders>
              <w:top w:val="nil"/>
              <w:bottom w:val="single" w:sz="4" w:space="0" w:color="auto"/>
            </w:tcBorders>
          </w:tcPr>
          <w:p w14:paraId="0AE172D7"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r>
      <w:tr w:rsidR="001503A1" w:rsidRPr="001503A1" w14:paraId="44DC2D2A" w14:textId="77777777" w:rsidTr="00746B28">
        <w:trPr>
          <w:jc w:val="center"/>
        </w:trPr>
        <w:tc>
          <w:tcPr>
            <w:tcW w:w="636" w:type="pct"/>
            <w:tcBorders>
              <w:top w:val="single" w:sz="4" w:space="0" w:color="auto"/>
              <w:bottom w:val="nil"/>
            </w:tcBorders>
            <w:vAlign w:val="center"/>
          </w:tcPr>
          <w:p w14:paraId="30467E02"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观测值</w:t>
            </w:r>
          </w:p>
        </w:tc>
        <w:tc>
          <w:tcPr>
            <w:tcW w:w="702" w:type="pct"/>
            <w:tcBorders>
              <w:top w:val="single" w:sz="4" w:space="0" w:color="auto"/>
              <w:bottom w:val="nil"/>
            </w:tcBorders>
          </w:tcPr>
          <w:p w14:paraId="1B5CE06E"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11141</w:t>
            </w:r>
          </w:p>
        </w:tc>
        <w:tc>
          <w:tcPr>
            <w:tcW w:w="768" w:type="pct"/>
            <w:tcBorders>
              <w:top w:val="single" w:sz="4" w:space="0" w:color="auto"/>
              <w:bottom w:val="nil"/>
            </w:tcBorders>
          </w:tcPr>
          <w:p w14:paraId="551A9D4C"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723" w:type="pct"/>
            <w:tcBorders>
              <w:top w:val="single" w:sz="4" w:space="0" w:color="auto"/>
              <w:bottom w:val="nil"/>
            </w:tcBorders>
          </w:tcPr>
          <w:p w14:paraId="7911556E"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11141</w:t>
            </w:r>
          </w:p>
        </w:tc>
        <w:tc>
          <w:tcPr>
            <w:tcW w:w="723" w:type="pct"/>
            <w:tcBorders>
              <w:top w:val="single" w:sz="4" w:space="0" w:color="auto"/>
              <w:bottom w:val="nil"/>
            </w:tcBorders>
          </w:tcPr>
          <w:p w14:paraId="29076196"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11141</w:t>
            </w:r>
          </w:p>
        </w:tc>
        <w:tc>
          <w:tcPr>
            <w:tcW w:w="723" w:type="pct"/>
            <w:tcBorders>
              <w:top w:val="single" w:sz="4" w:space="0" w:color="auto"/>
              <w:bottom w:val="nil"/>
            </w:tcBorders>
          </w:tcPr>
          <w:p w14:paraId="1B377E74"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11141</w:t>
            </w:r>
          </w:p>
        </w:tc>
        <w:tc>
          <w:tcPr>
            <w:tcW w:w="723" w:type="pct"/>
            <w:tcBorders>
              <w:top w:val="single" w:sz="4" w:space="0" w:color="auto"/>
              <w:bottom w:val="nil"/>
            </w:tcBorders>
          </w:tcPr>
          <w:p w14:paraId="3AFADC24"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11068</w:t>
            </w:r>
          </w:p>
        </w:tc>
      </w:tr>
      <w:tr w:rsidR="001A124A" w:rsidRPr="001503A1" w14:paraId="4CDBF718" w14:textId="77777777" w:rsidTr="00746B28">
        <w:trPr>
          <w:jc w:val="center"/>
        </w:trPr>
        <w:tc>
          <w:tcPr>
            <w:tcW w:w="636" w:type="pct"/>
            <w:tcBorders>
              <w:top w:val="nil"/>
            </w:tcBorders>
            <w:vAlign w:val="center"/>
          </w:tcPr>
          <w:p w14:paraId="4DBD872A"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Adj.R</w:t>
            </w:r>
            <w:r w:rsidRPr="001503A1">
              <w:rPr>
                <w:rFonts w:ascii="Times New Roman" w:eastAsia="楷体" w:hAnsi="Times New Roman" w:cs="Times New Roman"/>
                <w:color w:val="000000" w:themeColor="text1"/>
                <w:kern w:val="0"/>
                <w:sz w:val="18"/>
                <w:szCs w:val="18"/>
                <w:vertAlign w:val="superscript"/>
              </w:rPr>
              <w:t>2</w:t>
            </w:r>
          </w:p>
        </w:tc>
        <w:tc>
          <w:tcPr>
            <w:tcW w:w="702" w:type="pct"/>
            <w:tcBorders>
              <w:top w:val="nil"/>
            </w:tcBorders>
          </w:tcPr>
          <w:p w14:paraId="7AF7271A"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0.4327</w:t>
            </w:r>
          </w:p>
        </w:tc>
        <w:tc>
          <w:tcPr>
            <w:tcW w:w="768" w:type="pct"/>
            <w:tcBorders>
              <w:top w:val="nil"/>
            </w:tcBorders>
          </w:tcPr>
          <w:p w14:paraId="76A41045"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0.4059</w:t>
            </w:r>
          </w:p>
        </w:tc>
        <w:tc>
          <w:tcPr>
            <w:tcW w:w="723" w:type="pct"/>
            <w:tcBorders>
              <w:top w:val="nil"/>
            </w:tcBorders>
          </w:tcPr>
          <w:p w14:paraId="0F1122C7"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0.4190</w:t>
            </w:r>
          </w:p>
        </w:tc>
        <w:tc>
          <w:tcPr>
            <w:tcW w:w="723" w:type="pct"/>
            <w:tcBorders>
              <w:top w:val="nil"/>
            </w:tcBorders>
          </w:tcPr>
          <w:p w14:paraId="1F6FDB93"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0.5589</w:t>
            </w:r>
          </w:p>
        </w:tc>
        <w:tc>
          <w:tcPr>
            <w:tcW w:w="723" w:type="pct"/>
            <w:tcBorders>
              <w:top w:val="nil"/>
            </w:tcBorders>
          </w:tcPr>
          <w:p w14:paraId="2147617C"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0.5521</w:t>
            </w:r>
          </w:p>
        </w:tc>
        <w:tc>
          <w:tcPr>
            <w:tcW w:w="723" w:type="pct"/>
            <w:tcBorders>
              <w:top w:val="nil"/>
            </w:tcBorders>
          </w:tcPr>
          <w:p w14:paraId="4A7385AC"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0.5716</w:t>
            </w:r>
          </w:p>
        </w:tc>
      </w:tr>
    </w:tbl>
    <w:p w14:paraId="51A46FC6" w14:textId="77777777" w:rsidR="006E53A9" w:rsidRPr="001503A1" w:rsidRDefault="006E53A9" w:rsidP="001A124A">
      <w:pPr>
        <w:spacing w:line="288" w:lineRule="auto"/>
        <w:ind w:firstLineChars="200" w:firstLine="420"/>
        <w:contextualSpacing/>
        <w:rPr>
          <w:rFonts w:ascii="Times New Roman" w:eastAsia="楷体" w:hAnsi="Times New Roman" w:cs="Times New Roman"/>
          <w:color w:val="000000" w:themeColor="text1"/>
        </w:rPr>
      </w:pPr>
    </w:p>
    <w:p w14:paraId="2DA324DE" w14:textId="7E4C56A2" w:rsidR="001A124A" w:rsidRPr="001503A1" w:rsidRDefault="006E53A9" w:rsidP="00FC76D0">
      <w:pPr>
        <w:ind w:firstLineChars="200" w:firstLine="420"/>
        <w:contextualSpacing/>
        <w:rPr>
          <w:rFonts w:ascii="Times New Roman" w:eastAsia="楷体" w:hAnsi="Times New Roman" w:cs="Times New Roman"/>
          <w:color w:val="000000" w:themeColor="text1"/>
        </w:rPr>
      </w:pPr>
      <w:r w:rsidRPr="001503A1">
        <w:rPr>
          <w:rFonts w:ascii="Times New Roman" w:eastAsia="楷体" w:hAnsi="Times New Roman" w:cs="Times New Roman"/>
          <w:color w:val="000000" w:themeColor="text1"/>
        </w:rPr>
        <w:t>3</w:t>
      </w:r>
      <w:r w:rsidR="001A124A" w:rsidRPr="001503A1">
        <w:rPr>
          <w:rFonts w:ascii="Times New Roman" w:eastAsia="楷体" w:hAnsi="Times New Roman" w:cs="Times New Roman" w:hint="eastAsia"/>
          <w:color w:val="000000" w:themeColor="text1"/>
        </w:rPr>
        <w:t>.</w:t>
      </w:r>
      <w:r w:rsidR="001A124A" w:rsidRPr="001503A1">
        <w:rPr>
          <w:rFonts w:ascii="Times New Roman" w:eastAsia="楷体" w:hAnsi="Times New Roman" w:cs="Times New Roman"/>
          <w:color w:val="000000" w:themeColor="text1"/>
        </w:rPr>
        <w:t>其他稳健性测试</w:t>
      </w:r>
    </w:p>
    <w:p w14:paraId="66CA279F" w14:textId="4DB7B0C0" w:rsidR="001A124A" w:rsidRPr="001503A1" w:rsidRDefault="001A124A"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为进一步增强</w:t>
      </w:r>
      <w:r w:rsidRPr="001503A1">
        <w:rPr>
          <w:rFonts w:ascii="Times New Roman" w:eastAsia="宋体" w:hAnsi="Times New Roman" w:cs="Times New Roman" w:hint="eastAsia"/>
          <w:color w:val="000000" w:themeColor="text1"/>
        </w:rPr>
        <w:t>基准回归结果</w:t>
      </w:r>
      <w:r w:rsidRPr="001503A1">
        <w:rPr>
          <w:rFonts w:ascii="Times New Roman" w:eastAsia="宋体" w:hAnsi="Times New Roman" w:cs="Times New Roman"/>
          <w:color w:val="000000" w:themeColor="text1"/>
        </w:rPr>
        <w:t>的</w:t>
      </w:r>
      <w:r w:rsidRPr="001503A1">
        <w:rPr>
          <w:rFonts w:ascii="Times New Roman" w:eastAsia="宋体" w:hAnsi="Times New Roman" w:cs="Times New Roman" w:hint="eastAsia"/>
          <w:color w:val="000000" w:themeColor="text1"/>
        </w:rPr>
        <w:t>稳健性</w:t>
      </w:r>
      <w:r w:rsidRPr="001503A1">
        <w:rPr>
          <w:rFonts w:ascii="Times New Roman" w:eastAsia="宋体" w:hAnsi="Times New Roman" w:cs="Times New Roman"/>
          <w:color w:val="000000" w:themeColor="text1"/>
        </w:rPr>
        <w:t>，除了上述稳健性</w:t>
      </w:r>
      <w:r w:rsidRPr="001503A1">
        <w:rPr>
          <w:rFonts w:ascii="Times New Roman" w:eastAsia="宋体" w:hAnsi="Times New Roman" w:cs="Times New Roman" w:hint="eastAsia"/>
          <w:color w:val="000000" w:themeColor="text1"/>
        </w:rPr>
        <w:t>检验</w:t>
      </w:r>
      <w:r w:rsidRPr="001503A1">
        <w:rPr>
          <w:rFonts w:ascii="Times New Roman" w:eastAsia="宋体" w:hAnsi="Times New Roman" w:cs="Times New Roman"/>
          <w:color w:val="000000" w:themeColor="text1"/>
        </w:rPr>
        <w:t>之外，本文还</w:t>
      </w:r>
      <w:r w:rsidRPr="001503A1">
        <w:rPr>
          <w:rFonts w:ascii="Times New Roman" w:eastAsia="宋体" w:hAnsi="Times New Roman" w:cs="Times New Roman" w:hint="eastAsia"/>
          <w:color w:val="000000" w:themeColor="text1"/>
        </w:rPr>
        <w:t>做了如下工作</w:t>
      </w:r>
      <w:r w:rsidRPr="001503A1">
        <w:rPr>
          <w:rFonts w:ascii="Times New Roman" w:eastAsia="宋体" w:hAnsi="Times New Roman" w:cs="Times New Roman"/>
          <w:color w:val="000000" w:themeColor="text1"/>
        </w:rPr>
        <w:t>：</w:t>
      </w:r>
      <w:r w:rsidRPr="001503A1">
        <w:rPr>
          <w:rFonts w:ascii="Times New Roman" w:eastAsia="宋体" w:hAnsi="Times New Roman" w:cs="Times New Roman" w:hint="eastAsia"/>
          <w:color w:val="000000" w:themeColor="text1"/>
        </w:rPr>
        <w:t>第一</w:t>
      </w:r>
      <w:r w:rsidRPr="001503A1">
        <w:rPr>
          <w:rFonts w:ascii="Times New Roman" w:eastAsia="宋体" w:hAnsi="Times New Roman" w:cs="Times New Roman"/>
          <w:color w:val="000000" w:themeColor="text1"/>
        </w:rPr>
        <w:t>，考虑到</w:t>
      </w:r>
      <w:r w:rsidRPr="001503A1">
        <w:rPr>
          <w:rFonts w:ascii="Times New Roman" w:eastAsia="宋体" w:hAnsi="Times New Roman" w:cs="Times New Roman"/>
          <w:color w:val="000000" w:themeColor="text1"/>
        </w:rPr>
        <w:t>2020</w:t>
      </w:r>
      <w:r w:rsidRPr="001503A1">
        <w:rPr>
          <w:rFonts w:ascii="Times New Roman" w:eastAsia="宋体" w:hAnsi="Times New Roman" w:cs="Times New Roman"/>
          <w:color w:val="000000" w:themeColor="text1"/>
        </w:rPr>
        <w:t>年重大公共卫事件导致市场经济疲软，国有企业在吸收并化解风险的同时还迅速承担起稳定和恢复经济的职责</w:t>
      </w:r>
      <w:r w:rsidRPr="001503A1">
        <w:rPr>
          <w:rFonts w:ascii="Times New Roman" w:eastAsia="宋体" w:hAnsi="Times New Roman" w:cs="Times New Roman" w:hint="eastAsia"/>
          <w:color w:val="000000" w:themeColor="text1"/>
        </w:rPr>
        <w:t>（曾嶒、唐松，</w:t>
      </w:r>
      <w:r w:rsidRPr="001503A1">
        <w:rPr>
          <w:rFonts w:ascii="Times New Roman" w:eastAsia="宋体" w:hAnsi="Times New Roman" w:cs="Times New Roman" w:hint="eastAsia"/>
          <w:color w:val="000000" w:themeColor="text1"/>
        </w:rPr>
        <w:t>2023</w:t>
      </w:r>
      <w:r w:rsidRPr="001503A1">
        <w:rPr>
          <w:rFonts w:ascii="Times New Roman" w:eastAsia="宋体" w:hAnsi="Times New Roman" w:cs="Times New Roman" w:hint="eastAsia"/>
          <w:color w:val="000000" w:themeColor="text1"/>
        </w:rPr>
        <w:t>）</w:t>
      </w:r>
      <w:r w:rsidRPr="001503A1">
        <w:rPr>
          <w:rFonts w:ascii="Times New Roman" w:eastAsia="宋体" w:hAnsi="Times New Roman" w:cs="Times New Roman"/>
          <w:color w:val="000000" w:themeColor="text1"/>
        </w:rPr>
        <w:t>。为排除</w:t>
      </w:r>
      <w:r w:rsidRPr="001503A1">
        <w:rPr>
          <w:rFonts w:ascii="Times New Roman" w:eastAsia="宋体" w:hAnsi="Times New Roman" w:cs="Times New Roman"/>
          <w:color w:val="000000" w:themeColor="text1"/>
        </w:rPr>
        <w:t>2020</w:t>
      </w:r>
      <w:r w:rsidRPr="001503A1">
        <w:rPr>
          <w:rFonts w:ascii="Times New Roman" w:eastAsia="宋体" w:hAnsi="Times New Roman" w:cs="Times New Roman"/>
          <w:color w:val="000000" w:themeColor="text1"/>
        </w:rPr>
        <w:t>年重大公共卫事件可能会对</w:t>
      </w:r>
      <w:r w:rsidRPr="001503A1">
        <w:rPr>
          <w:rFonts w:ascii="Times New Roman" w:eastAsia="宋体" w:hAnsi="Times New Roman" w:cs="Times New Roman" w:hint="eastAsia"/>
          <w:color w:val="000000" w:themeColor="text1"/>
        </w:rPr>
        <w:t>基准回归结果产生的</w:t>
      </w:r>
      <w:r w:rsidRPr="001503A1">
        <w:rPr>
          <w:rFonts w:ascii="Times New Roman" w:eastAsia="宋体" w:hAnsi="Times New Roman" w:cs="Times New Roman"/>
          <w:color w:val="000000" w:themeColor="text1"/>
        </w:rPr>
        <w:t>干扰，本文剔除了新冠疫情期间（</w:t>
      </w:r>
      <w:r w:rsidRPr="001503A1">
        <w:rPr>
          <w:rFonts w:ascii="Times New Roman" w:eastAsia="宋体" w:hAnsi="Times New Roman" w:cs="Times New Roman"/>
          <w:color w:val="000000" w:themeColor="text1"/>
        </w:rPr>
        <w:t>2020-2021</w:t>
      </w:r>
      <w:r w:rsidRPr="001503A1">
        <w:rPr>
          <w:rFonts w:ascii="Times New Roman" w:eastAsia="宋体" w:hAnsi="Times New Roman" w:cs="Times New Roman"/>
          <w:color w:val="000000" w:themeColor="text1"/>
        </w:rPr>
        <w:t>年）的样本</w:t>
      </w:r>
      <w:r w:rsidRPr="001503A1">
        <w:rPr>
          <w:rFonts w:ascii="Times New Roman" w:eastAsia="宋体" w:hAnsi="Times New Roman" w:cs="Times New Roman" w:hint="eastAsia"/>
          <w:color w:val="000000" w:themeColor="text1"/>
        </w:rPr>
        <w:t>进行</w:t>
      </w:r>
      <w:r w:rsidRPr="001503A1">
        <w:rPr>
          <w:rFonts w:ascii="Times New Roman" w:eastAsia="宋体" w:hAnsi="Times New Roman" w:cs="Times New Roman"/>
          <w:color w:val="000000" w:themeColor="text1"/>
        </w:rPr>
        <w:t>重新</w:t>
      </w:r>
      <w:r w:rsidRPr="001503A1">
        <w:rPr>
          <w:rFonts w:ascii="Times New Roman" w:eastAsia="宋体" w:hAnsi="Times New Roman" w:cs="Times New Roman" w:hint="eastAsia"/>
          <w:color w:val="000000" w:themeColor="text1"/>
        </w:rPr>
        <w:t>估计。回归</w:t>
      </w:r>
      <w:r w:rsidRPr="001503A1">
        <w:rPr>
          <w:rFonts w:ascii="Times New Roman" w:eastAsia="宋体" w:hAnsi="Times New Roman" w:cs="Times New Roman"/>
          <w:color w:val="000000" w:themeColor="text1"/>
        </w:rPr>
        <w:t>结果见</w:t>
      </w:r>
      <w:r w:rsidR="002808E7" w:rsidRPr="001503A1">
        <w:rPr>
          <w:rFonts w:ascii="Times New Roman" w:eastAsia="宋体" w:hAnsi="Times New Roman" w:cs="Times New Roman" w:hint="eastAsia"/>
          <w:color w:val="000000" w:themeColor="text1"/>
        </w:rPr>
        <w:t>附表</w:t>
      </w:r>
      <w:r w:rsidR="002808E7" w:rsidRPr="001503A1">
        <w:rPr>
          <w:rFonts w:ascii="Times New Roman" w:eastAsia="宋体" w:hAnsi="Times New Roman" w:cs="Times New Roman" w:hint="eastAsia"/>
          <w:color w:val="000000" w:themeColor="text1"/>
        </w:rPr>
        <w:t>5</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）列。</w:t>
      </w:r>
      <w:r w:rsidRPr="001503A1">
        <w:rPr>
          <w:rFonts w:ascii="Times New Roman" w:eastAsia="宋体" w:hAnsi="Times New Roman" w:cs="Times New Roman" w:hint="eastAsia"/>
          <w:color w:val="000000" w:themeColor="text1"/>
        </w:rPr>
        <w:t>第二</w:t>
      </w:r>
      <w:r w:rsidRPr="001503A1">
        <w:rPr>
          <w:rFonts w:ascii="Times New Roman" w:eastAsia="宋体" w:hAnsi="Times New Roman" w:cs="Times New Roman"/>
          <w:color w:val="000000" w:themeColor="text1"/>
        </w:rPr>
        <w:t>，为了控制不同行业的</w:t>
      </w:r>
      <w:r w:rsidRPr="001503A1">
        <w:rPr>
          <w:rFonts w:ascii="Times New Roman" w:eastAsia="宋体" w:hAnsi="Times New Roman" w:cs="Times New Roman" w:hint="eastAsia"/>
          <w:color w:val="000000" w:themeColor="text1"/>
        </w:rPr>
        <w:t>时变</w:t>
      </w:r>
      <w:r w:rsidRPr="001503A1">
        <w:rPr>
          <w:rFonts w:ascii="Times New Roman" w:eastAsia="宋体" w:hAnsi="Times New Roman" w:cs="Times New Roman"/>
          <w:color w:val="000000" w:themeColor="text1"/>
        </w:rPr>
        <w:t>经济形势对本文</w:t>
      </w:r>
      <w:r w:rsidRPr="001503A1">
        <w:rPr>
          <w:rFonts w:ascii="Times New Roman" w:eastAsia="宋体" w:hAnsi="Times New Roman" w:cs="Times New Roman" w:hint="eastAsia"/>
          <w:color w:val="000000" w:themeColor="text1"/>
        </w:rPr>
        <w:t>基准回归结果产生的</w:t>
      </w:r>
      <w:r w:rsidRPr="001503A1">
        <w:rPr>
          <w:rFonts w:ascii="Times New Roman" w:eastAsia="宋体" w:hAnsi="Times New Roman" w:cs="Times New Roman"/>
          <w:color w:val="000000" w:themeColor="text1"/>
        </w:rPr>
        <w:t>干扰，本文</w:t>
      </w:r>
      <w:r w:rsidRPr="001503A1">
        <w:rPr>
          <w:rFonts w:ascii="Times New Roman" w:eastAsia="宋体" w:hAnsi="Times New Roman" w:cs="Times New Roman" w:hint="eastAsia"/>
          <w:color w:val="000000" w:themeColor="text1"/>
        </w:rPr>
        <w:t>在计量模型（</w:t>
      </w:r>
      <w:r w:rsidRPr="001503A1">
        <w:rPr>
          <w:rFonts w:ascii="Times New Roman" w:eastAsia="宋体" w:hAnsi="Times New Roman" w:cs="Times New Roman" w:hint="eastAsia"/>
          <w:color w:val="000000" w:themeColor="text1"/>
        </w:rPr>
        <w:t>1</w:t>
      </w:r>
      <w:r w:rsidRPr="001503A1">
        <w:rPr>
          <w:rFonts w:ascii="Times New Roman" w:eastAsia="宋体" w:hAnsi="Times New Roman" w:cs="Times New Roman" w:hint="eastAsia"/>
          <w:color w:val="000000" w:themeColor="text1"/>
        </w:rPr>
        <w:t>）中新增</w:t>
      </w:r>
      <w:r w:rsidRPr="001503A1">
        <w:rPr>
          <w:rFonts w:ascii="Times New Roman" w:eastAsia="宋体" w:hAnsi="Times New Roman" w:cs="Times New Roman"/>
          <w:color w:val="000000" w:themeColor="text1"/>
        </w:rPr>
        <w:t>了行业</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时间固定效应</w:t>
      </w:r>
      <w:r w:rsidRPr="001503A1">
        <w:rPr>
          <w:rFonts w:ascii="Times New Roman" w:eastAsia="宋体" w:hAnsi="Times New Roman" w:cs="Times New Roman" w:hint="eastAsia"/>
          <w:color w:val="000000" w:themeColor="text1"/>
        </w:rPr>
        <w:t>进行重新估计。</w:t>
      </w:r>
      <w:r w:rsidRPr="001503A1">
        <w:rPr>
          <w:rFonts w:ascii="Times New Roman" w:eastAsia="宋体" w:hAnsi="Times New Roman" w:cs="Times New Roman"/>
          <w:color w:val="000000" w:themeColor="text1"/>
        </w:rPr>
        <w:t>回归结果分别见</w:t>
      </w:r>
      <w:r w:rsidR="002808E7" w:rsidRPr="001503A1">
        <w:rPr>
          <w:rFonts w:ascii="Times New Roman" w:eastAsia="宋体" w:hAnsi="Times New Roman" w:cs="Times New Roman" w:hint="eastAsia"/>
          <w:color w:val="000000" w:themeColor="text1"/>
        </w:rPr>
        <w:t>附表</w:t>
      </w:r>
      <w:r w:rsidR="002808E7" w:rsidRPr="001503A1">
        <w:rPr>
          <w:rFonts w:ascii="Times New Roman" w:eastAsia="宋体" w:hAnsi="Times New Roman" w:cs="Times New Roman" w:hint="eastAsia"/>
          <w:color w:val="000000" w:themeColor="text1"/>
        </w:rPr>
        <w:t>5</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2</w:t>
      </w:r>
      <w:r w:rsidRPr="001503A1">
        <w:rPr>
          <w:rFonts w:ascii="Times New Roman" w:eastAsia="宋体" w:hAnsi="Times New Roman" w:cs="Times New Roman"/>
          <w:color w:val="000000" w:themeColor="text1"/>
        </w:rPr>
        <w:t>）列。最后，考虑到同一地区及同一行业内部的企业间能会形成干扰，为排除地区和行业间的异方差问题对</w:t>
      </w:r>
      <w:r w:rsidRPr="001503A1">
        <w:rPr>
          <w:rFonts w:ascii="Times New Roman" w:eastAsia="宋体" w:hAnsi="Times New Roman" w:cs="Times New Roman" w:hint="eastAsia"/>
          <w:color w:val="000000" w:themeColor="text1"/>
        </w:rPr>
        <w:t>基准回归结果</w:t>
      </w:r>
      <w:r w:rsidRPr="001503A1">
        <w:rPr>
          <w:rFonts w:ascii="Times New Roman" w:eastAsia="宋体" w:hAnsi="Times New Roman" w:cs="Times New Roman"/>
          <w:color w:val="000000" w:themeColor="text1"/>
        </w:rPr>
        <w:t>的影响，本文</w:t>
      </w:r>
      <w:r w:rsidRPr="001503A1">
        <w:rPr>
          <w:rFonts w:ascii="Times New Roman" w:eastAsia="宋体" w:hAnsi="Times New Roman" w:cs="Times New Roman" w:hint="eastAsia"/>
          <w:color w:val="000000" w:themeColor="text1"/>
        </w:rPr>
        <w:t>分别从</w:t>
      </w:r>
      <w:r w:rsidRPr="001503A1">
        <w:rPr>
          <w:rFonts w:ascii="Times New Roman" w:eastAsia="宋体" w:hAnsi="Times New Roman" w:cs="Times New Roman"/>
          <w:color w:val="000000" w:themeColor="text1"/>
        </w:rPr>
        <w:t>省份层面</w:t>
      </w:r>
      <w:r w:rsidRPr="001503A1">
        <w:rPr>
          <w:rFonts w:ascii="Times New Roman" w:eastAsia="宋体" w:hAnsi="Times New Roman" w:cs="Times New Roman" w:hint="eastAsia"/>
          <w:color w:val="000000" w:themeColor="text1"/>
        </w:rPr>
        <w:t>和</w:t>
      </w:r>
      <w:r w:rsidRPr="001503A1">
        <w:rPr>
          <w:rFonts w:ascii="Times New Roman" w:eastAsia="宋体" w:hAnsi="Times New Roman" w:cs="Times New Roman"/>
          <w:color w:val="000000" w:themeColor="text1"/>
        </w:rPr>
        <w:t>行业层面</w:t>
      </w:r>
      <w:r w:rsidRPr="001503A1">
        <w:rPr>
          <w:rFonts w:ascii="Times New Roman" w:eastAsia="宋体" w:hAnsi="Times New Roman" w:cs="Times New Roman" w:hint="eastAsia"/>
          <w:color w:val="000000" w:themeColor="text1"/>
        </w:rPr>
        <w:t>对</w:t>
      </w:r>
      <w:r w:rsidRPr="001503A1">
        <w:rPr>
          <w:rFonts w:ascii="Times New Roman" w:eastAsia="宋体" w:hAnsi="Times New Roman" w:cs="Times New Roman"/>
          <w:color w:val="000000" w:themeColor="text1"/>
        </w:rPr>
        <w:t>标准误进行聚类</w:t>
      </w:r>
      <w:r w:rsidRPr="001503A1">
        <w:rPr>
          <w:rFonts w:ascii="Times New Roman" w:eastAsia="宋体" w:hAnsi="Times New Roman" w:cs="Times New Roman" w:hint="eastAsia"/>
          <w:color w:val="000000" w:themeColor="text1"/>
        </w:rPr>
        <w:t>调整</w:t>
      </w:r>
      <w:r w:rsidRPr="001503A1">
        <w:rPr>
          <w:rFonts w:ascii="Times New Roman" w:eastAsia="宋体" w:hAnsi="Times New Roman" w:cs="Times New Roman"/>
          <w:color w:val="000000" w:themeColor="text1"/>
        </w:rPr>
        <w:t>，结果见</w:t>
      </w:r>
      <w:r w:rsidR="002808E7" w:rsidRPr="001503A1">
        <w:rPr>
          <w:rFonts w:ascii="Times New Roman" w:eastAsia="宋体" w:hAnsi="Times New Roman" w:cs="Times New Roman" w:hint="eastAsia"/>
          <w:color w:val="000000" w:themeColor="text1"/>
        </w:rPr>
        <w:t>附表</w:t>
      </w:r>
      <w:r w:rsidR="002808E7" w:rsidRPr="001503A1">
        <w:rPr>
          <w:rFonts w:ascii="Times New Roman" w:eastAsia="宋体" w:hAnsi="Times New Roman" w:cs="Times New Roman" w:hint="eastAsia"/>
          <w:color w:val="000000" w:themeColor="text1"/>
        </w:rPr>
        <w:t>5</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hint="eastAsia"/>
          <w:color w:val="000000" w:themeColor="text1"/>
        </w:rPr>
        <w:t>3</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w:t>
      </w:r>
      <w:r w:rsidRPr="001503A1">
        <w:rPr>
          <w:rFonts w:ascii="Times New Roman" w:eastAsia="宋体" w:hAnsi="Times New Roman" w:cs="Times New Roman" w:hint="eastAsia"/>
          <w:color w:val="000000" w:themeColor="text1"/>
        </w:rPr>
        <w:t>4</w:t>
      </w:r>
      <w:r w:rsidRPr="001503A1">
        <w:rPr>
          <w:rFonts w:ascii="Times New Roman" w:eastAsia="宋体" w:hAnsi="Times New Roman" w:cs="Times New Roman"/>
          <w:color w:val="000000" w:themeColor="text1"/>
        </w:rPr>
        <w:t>）列。</w:t>
      </w:r>
      <w:r w:rsidRPr="001503A1">
        <w:rPr>
          <w:rFonts w:ascii="Times New Roman" w:eastAsia="宋体" w:hAnsi="Times New Roman" w:cs="Times New Roman" w:hint="eastAsia"/>
          <w:color w:val="000000" w:themeColor="text1"/>
        </w:rPr>
        <w:t>观察上述结果可以发现</w:t>
      </w:r>
      <w:r w:rsidRPr="001503A1">
        <w:rPr>
          <w:rFonts w:ascii="Times New Roman" w:eastAsia="宋体" w:hAnsi="Times New Roman" w:cs="Times New Roman"/>
          <w:color w:val="000000" w:themeColor="text1"/>
        </w:rPr>
        <w:t>，核心解释变量</w:t>
      </w:r>
      <w:r w:rsidRPr="000378C5">
        <w:rPr>
          <w:rFonts w:ascii="Times New Roman" w:eastAsia="宋体" w:hAnsi="Times New Roman" w:cs="Times New Roman"/>
          <w:i/>
          <w:iCs/>
          <w:color w:val="000000" w:themeColor="text1"/>
        </w:rPr>
        <w:t>Transfer</w:t>
      </w:r>
      <w:r w:rsidRPr="001503A1">
        <w:rPr>
          <w:rFonts w:ascii="Times New Roman" w:eastAsia="宋体" w:hAnsi="Times New Roman" w:cs="Times New Roman"/>
          <w:color w:val="000000" w:themeColor="text1"/>
        </w:rPr>
        <w:t>的估计系数均显著为负，</w:t>
      </w:r>
      <w:r w:rsidRPr="001503A1">
        <w:rPr>
          <w:rFonts w:ascii="Times New Roman" w:eastAsia="宋体" w:hAnsi="Times New Roman" w:cs="Times New Roman" w:hint="eastAsia"/>
          <w:color w:val="000000" w:themeColor="text1"/>
        </w:rPr>
        <w:t>进一步证明了</w:t>
      </w:r>
      <w:r w:rsidRPr="001503A1">
        <w:rPr>
          <w:rFonts w:ascii="Times New Roman" w:eastAsia="宋体" w:hAnsi="Times New Roman" w:cs="Times New Roman"/>
          <w:color w:val="000000" w:themeColor="text1"/>
        </w:rPr>
        <w:t>基准回归结果的稳健性。</w:t>
      </w:r>
    </w:p>
    <w:p w14:paraId="745EE9D5" w14:textId="0320C7C7" w:rsidR="001A124A" w:rsidRPr="001503A1" w:rsidRDefault="002808E7" w:rsidP="001A124A">
      <w:pPr>
        <w:ind w:firstLineChars="200" w:firstLine="422"/>
        <w:contextualSpacing/>
        <w:jc w:val="left"/>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lastRenderedPageBreak/>
        <w:t>附</w:t>
      </w:r>
      <w:r w:rsidR="001A124A" w:rsidRPr="001503A1">
        <w:rPr>
          <w:rFonts w:ascii="Times New Roman" w:eastAsia="黑体" w:hAnsi="Times New Roman" w:cs="Times New Roman"/>
          <w:b/>
          <w:bCs/>
          <w:color w:val="000000" w:themeColor="text1"/>
          <w:szCs w:val="21"/>
        </w:rPr>
        <w:t>表</w:t>
      </w:r>
      <w:r w:rsidRPr="001503A1">
        <w:rPr>
          <w:rFonts w:ascii="Times New Roman" w:eastAsia="黑体" w:hAnsi="Times New Roman" w:cs="Times New Roman"/>
          <w:b/>
          <w:bCs/>
          <w:color w:val="000000" w:themeColor="text1"/>
          <w:szCs w:val="21"/>
        </w:rPr>
        <w:t>5</w:t>
      </w:r>
      <w:r w:rsidR="001A124A" w:rsidRPr="001503A1">
        <w:rPr>
          <w:rFonts w:ascii="Times New Roman" w:eastAsia="黑体" w:hAnsi="Times New Roman" w:cs="Times New Roman" w:hint="eastAsia"/>
          <w:b/>
          <w:bCs/>
          <w:color w:val="000000" w:themeColor="text1"/>
          <w:szCs w:val="21"/>
        </w:rPr>
        <w:t xml:space="preserve"> </w:t>
      </w:r>
      <w:r w:rsidR="001A124A" w:rsidRPr="001503A1">
        <w:rPr>
          <w:rFonts w:ascii="Times New Roman" w:eastAsia="黑体" w:hAnsi="Times New Roman" w:cs="Times New Roman"/>
          <w:b/>
          <w:bCs/>
          <w:color w:val="000000" w:themeColor="text1"/>
          <w:szCs w:val="21"/>
        </w:rPr>
        <w:t xml:space="preserve">                           </w:t>
      </w:r>
      <w:r w:rsidR="001A124A" w:rsidRPr="001503A1">
        <w:rPr>
          <w:rFonts w:ascii="Times New Roman" w:eastAsia="黑体" w:hAnsi="Times New Roman" w:cs="Times New Roman"/>
          <w:b/>
          <w:bCs/>
          <w:color w:val="000000" w:themeColor="text1"/>
          <w:szCs w:val="21"/>
        </w:rPr>
        <w:t>其他稳健性测试</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837"/>
        <w:gridCol w:w="1792"/>
        <w:gridCol w:w="1935"/>
        <w:gridCol w:w="1435"/>
        <w:gridCol w:w="1307"/>
      </w:tblGrid>
      <w:tr w:rsidR="001503A1" w:rsidRPr="001503A1" w14:paraId="71064303" w14:textId="77777777" w:rsidTr="00746B28">
        <w:tc>
          <w:tcPr>
            <w:tcW w:w="1105" w:type="pct"/>
            <w:vMerge w:val="restart"/>
            <w:vAlign w:val="center"/>
          </w:tcPr>
          <w:p w14:paraId="783D7FDE"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hint="eastAsia"/>
                <w:color w:val="000000" w:themeColor="text1"/>
                <w:kern w:val="0"/>
                <w:sz w:val="18"/>
                <w:szCs w:val="18"/>
              </w:rPr>
              <w:t>变量</w:t>
            </w:r>
          </w:p>
        </w:tc>
        <w:tc>
          <w:tcPr>
            <w:tcW w:w="1079" w:type="pct"/>
            <w:vAlign w:val="center"/>
          </w:tcPr>
          <w:p w14:paraId="6A5F72A3"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剔除</w:t>
            </w:r>
            <w:r w:rsidRPr="001503A1">
              <w:rPr>
                <w:rFonts w:ascii="Times New Roman" w:eastAsia="宋体" w:hAnsi="Times New Roman" w:cs="Times New Roman" w:hint="eastAsia"/>
                <w:color w:val="000000" w:themeColor="text1"/>
                <w:kern w:val="0"/>
                <w:sz w:val="18"/>
                <w:szCs w:val="18"/>
              </w:rPr>
              <w:t>重大公共卫事件</w:t>
            </w:r>
            <w:r w:rsidRPr="001503A1">
              <w:rPr>
                <w:rFonts w:ascii="Times New Roman" w:eastAsia="宋体" w:hAnsi="Times New Roman" w:cs="Times New Roman"/>
                <w:color w:val="000000" w:themeColor="text1"/>
                <w:kern w:val="0"/>
                <w:sz w:val="18"/>
                <w:szCs w:val="18"/>
              </w:rPr>
              <w:t>影响</w:t>
            </w:r>
          </w:p>
        </w:tc>
        <w:tc>
          <w:tcPr>
            <w:tcW w:w="1165" w:type="pct"/>
            <w:vAlign w:val="center"/>
          </w:tcPr>
          <w:p w14:paraId="6ABDD551"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hint="eastAsia"/>
                <w:color w:val="000000" w:themeColor="text1"/>
                <w:kern w:val="0"/>
                <w:sz w:val="18"/>
                <w:szCs w:val="18"/>
              </w:rPr>
              <w:t>行业</w:t>
            </w:r>
            <w:r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时间特征</w:t>
            </w:r>
          </w:p>
        </w:tc>
        <w:tc>
          <w:tcPr>
            <w:tcW w:w="864" w:type="pct"/>
            <w:vAlign w:val="center"/>
          </w:tcPr>
          <w:p w14:paraId="0FAD792B"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省份聚类</w:t>
            </w:r>
          </w:p>
        </w:tc>
        <w:tc>
          <w:tcPr>
            <w:tcW w:w="787" w:type="pct"/>
            <w:vAlign w:val="center"/>
          </w:tcPr>
          <w:p w14:paraId="0D0E19F3"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行业聚类</w:t>
            </w:r>
          </w:p>
        </w:tc>
      </w:tr>
      <w:tr w:rsidR="001503A1" w:rsidRPr="001503A1" w14:paraId="442785FB" w14:textId="77777777" w:rsidTr="00746B28">
        <w:tc>
          <w:tcPr>
            <w:tcW w:w="1105" w:type="pct"/>
            <w:vMerge/>
            <w:vAlign w:val="center"/>
          </w:tcPr>
          <w:p w14:paraId="1845ABB9"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p>
        </w:tc>
        <w:tc>
          <w:tcPr>
            <w:tcW w:w="1079" w:type="pct"/>
            <w:vAlign w:val="center"/>
          </w:tcPr>
          <w:p w14:paraId="43D9A5C2"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(1)</w:t>
            </w:r>
          </w:p>
        </w:tc>
        <w:tc>
          <w:tcPr>
            <w:tcW w:w="1165" w:type="pct"/>
            <w:vAlign w:val="center"/>
          </w:tcPr>
          <w:p w14:paraId="0FB8DD3E"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2</w:t>
            </w:r>
            <w:r w:rsidRPr="001503A1">
              <w:rPr>
                <w:rFonts w:ascii="Times New Roman" w:eastAsia="宋体" w:hAnsi="Times New Roman" w:cs="Times New Roman"/>
                <w:color w:val="000000" w:themeColor="text1"/>
                <w:kern w:val="0"/>
                <w:sz w:val="18"/>
                <w:szCs w:val="18"/>
              </w:rPr>
              <w:t>)</w:t>
            </w:r>
          </w:p>
        </w:tc>
        <w:tc>
          <w:tcPr>
            <w:tcW w:w="864" w:type="pct"/>
            <w:vAlign w:val="center"/>
          </w:tcPr>
          <w:p w14:paraId="420C5E3A"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3</w:t>
            </w:r>
            <w:r w:rsidRPr="001503A1">
              <w:rPr>
                <w:rFonts w:ascii="Times New Roman" w:eastAsia="宋体" w:hAnsi="Times New Roman" w:cs="Times New Roman"/>
                <w:color w:val="000000" w:themeColor="text1"/>
                <w:kern w:val="0"/>
                <w:sz w:val="18"/>
                <w:szCs w:val="18"/>
              </w:rPr>
              <w:t>)</w:t>
            </w:r>
          </w:p>
        </w:tc>
        <w:tc>
          <w:tcPr>
            <w:tcW w:w="787" w:type="pct"/>
            <w:vAlign w:val="center"/>
          </w:tcPr>
          <w:p w14:paraId="6F87B494"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4</w:t>
            </w:r>
            <w:r w:rsidRPr="001503A1">
              <w:rPr>
                <w:rFonts w:ascii="Times New Roman" w:eastAsia="宋体" w:hAnsi="Times New Roman" w:cs="Times New Roman"/>
                <w:color w:val="000000" w:themeColor="text1"/>
                <w:kern w:val="0"/>
                <w:sz w:val="18"/>
                <w:szCs w:val="18"/>
              </w:rPr>
              <w:t>)</w:t>
            </w:r>
          </w:p>
        </w:tc>
      </w:tr>
      <w:tr w:rsidR="001503A1" w:rsidRPr="001503A1" w14:paraId="4B8FF3A8" w14:textId="77777777" w:rsidTr="00746B28">
        <w:tc>
          <w:tcPr>
            <w:tcW w:w="1105" w:type="pct"/>
            <w:vMerge/>
            <w:tcBorders>
              <w:bottom w:val="single" w:sz="4" w:space="0" w:color="auto"/>
            </w:tcBorders>
            <w:vAlign w:val="center"/>
          </w:tcPr>
          <w:p w14:paraId="3B4BBD89" w14:textId="77777777" w:rsidR="001A124A" w:rsidRPr="001503A1" w:rsidRDefault="001A124A" w:rsidP="001A124A">
            <w:pPr>
              <w:autoSpaceDE w:val="0"/>
              <w:autoSpaceDN w:val="0"/>
              <w:contextualSpacing/>
              <w:jc w:val="center"/>
              <w:rPr>
                <w:rFonts w:ascii="Times New Roman" w:eastAsia="宋体" w:hAnsi="Times New Roman" w:cs="Times New Roman"/>
                <w:color w:val="000000" w:themeColor="text1"/>
                <w:kern w:val="0"/>
                <w:sz w:val="18"/>
                <w:szCs w:val="18"/>
              </w:rPr>
            </w:pPr>
          </w:p>
        </w:tc>
        <w:tc>
          <w:tcPr>
            <w:tcW w:w="1079" w:type="pct"/>
            <w:tcBorders>
              <w:bottom w:val="single" w:sz="4" w:space="0" w:color="auto"/>
            </w:tcBorders>
            <w:vAlign w:val="center"/>
          </w:tcPr>
          <w:p w14:paraId="63B2F1F5"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1165" w:type="pct"/>
            <w:tcBorders>
              <w:bottom w:val="single" w:sz="4" w:space="0" w:color="auto"/>
            </w:tcBorders>
            <w:vAlign w:val="center"/>
          </w:tcPr>
          <w:p w14:paraId="62F91EE4"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864" w:type="pct"/>
            <w:tcBorders>
              <w:bottom w:val="single" w:sz="4" w:space="0" w:color="auto"/>
            </w:tcBorders>
            <w:vAlign w:val="center"/>
          </w:tcPr>
          <w:p w14:paraId="0A22F755"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787" w:type="pct"/>
            <w:tcBorders>
              <w:bottom w:val="single" w:sz="4" w:space="0" w:color="auto"/>
            </w:tcBorders>
            <w:vAlign w:val="center"/>
          </w:tcPr>
          <w:p w14:paraId="7A773DEF" w14:textId="77777777" w:rsidR="001A124A" w:rsidRPr="001503A1" w:rsidRDefault="001A124A" w:rsidP="001A124A">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r>
      <w:tr w:rsidR="001503A1" w:rsidRPr="001503A1" w14:paraId="3B323BD6" w14:textId="77777777" w:rsidTr="00746B28">
        <w:tc>
          <w:tcPr>
            <w:tcW w:w="1105" w:type="pct"/>
            <w:vMerge w:val="restart"/>
            <w:tcBorders>
              <w:bottom w:val="nil"/>
            </w:tcBorders>
            <w:vAlign w:val="center"/>
          </w:tcPr>
          <w:p w14:paraId="6C835B5B"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Transfer</w:t>
            </w:r>
          </w:p>
        </w:tc>
        <w:tc>
          <w:tcPr>
            <w:tcW w:w="1079" w:type="pct"/>
            <w:tcBorders>
              <w:bottom w:val="nil"/>
            </w:tcBorders>
          </w:tcPr>
          <w:p w14:paraId="06549E69"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-0.0062</w:t>
            </w:r>
            <w:r w:rsidRPr="001503A1">
              <w:rPr>
                <w:rFonts w:ascii="Times New Roman" w:eastAsia="楷体" w:hAnsi="Times New Roman" w:cs="Times New Roman"/>
                <w:color w:val="000000" w:themeColor="text1"/>
                <w:kern w:val="0"/>
                <w:sz w:val="18"/>
                <w:szCs w:val="18"/>
                <w:vertAlign w:val="superscript"/>
              </w:rPr>
              <w:t>***</w:t>
            </w:r>
          </w:p>
        </w:tc>
        <w:tc>
          <w:tcPr>
            <w:tcW w:w="1165" w:type="pct"/>
            <w:tcBorders>
              <w:bottom w:val="nil"/>
            </w:tcBorders>
          </w:tcPr>
          <w:p w14:paraId="774DC86E"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-0.0046</w:t>
            </w:r>
            <w:r w:rsidRPr="001503A1">
              <w:rPr>
                <w:rFonts w:ascii="Times New Roman" w:eastAsia="楷体" w:hAnsi="Times New Roman" w:cs="Times New Roman"/>
                <w:color w:val="000000" w:themeColor="text1"/>
                <w:kern w:val="0"/>
                <w:sz w:val="18"/>
                <w:szCs w:val="18"/>
                <w:vertAlign w:val="superscript"/>
              </w:rPr>
              <w:t>**</w:t>
            </w:r>
          </w:p>
        </w:tc>
        <w:tc>
          <w:tcPr>
            <w:tcW w:w="864" w:type="pct"/>
            <w:tcBorders>
              <w:bottom w:val="nil"/>
            </w:tcBorders>
          </w:tcPr>
          <w:p w14:paraId="7E0F1D31"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-0.0052</w:t>
            </w:r>
            <w:r w:rsidRPr="001503A1">
              <w:rPr>
                <w:rFonts w:ascii="Times New Roman" w:eastAsia="楷体" w:hAnsi="Times New Roman" w:cs="Times New Roman"/>
                <w:color w:val="000000" w:themeColor="text1"/>
                <w:kern w:val="0"/>
                <w:sz w:val="18"/>
                <w:szCs w:val="18"/>
                <w:vertAlign w:val="superscript"/>
              </w:rPr>
              <w:t>***</w:t>
            </w:r>
          </w:p>
        </w:tc>
        <w:tc>
          <w:tcPr>
            <w:tcW w:w="787" w:type="pct"/>
            <w:tcBorders>
              <w:bottom w:val="nil"/>
            </w:tcBorders>
          </w:tcPr>
          <w:p w14:paraId="24DFDD1C"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-0.0052</w:t>
            </w:r>
            <w:r w:rsidRPr="001503A1">
              <w:rPr>
                <w:rFonts w:ascii="Times New Roman" w:eastAsia="楷体" w:hAnsi="Times New Roman" w:cs="Times New Roman"/>
                <w:color w:val="000000" w:themeColor="text1"/>
                <w:kern w:val="0"/>
                <w:sz w:val="18"/>
                <w:szCs w:val="18"/>
                <w:vertAlign w:val="superscript"/>
              </w:rPr>
              <w:t>**</w:t>
            </w:r>
          </w:p>
        </w:tc>
      </w:tr>
      <w:tr w:rsidR="001503A1" w:rsidRPr="001503A1" w14:paraId="5C2291CA" w14:textId="77777777" w:rsidTr="00746B28">
        <w:tc>
          <w:tcPr>
            <w:tcW w:w="1105" w:type="pct"/>
            <w:vMerge/>
            <w:tcBorders>
              <w:top w:val="nil"/>
              <w:bottom w:val="nil"/>
            </w:tcBorders>
            <w:vAlign w:val="center"/>
          </w:tcPr>
          <w:p w14:paraId="112E5138"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p>
        </w:tc>
        <w:tc>
          <w:tcPr>
            <w:tcW w:w="1079" w:type="pct"/>
            <w:tcBorders>
              <w:top w:val="nil"/>
              <w:bottom w:val="nil"/>
            </w:tcBorders>
          </w:tcPr>
          <w:p w14:paraId="38EE87F8"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(0.0019)</w:t>
            </w:r>
          </w:p>
        </w:tc>
        <w:tc>
          <w:tcPr>
            <w:tcW w:w="1165" w:type="pct"/>
            <w:tcBorders>
              <w:top w:val="nil"/>
              <w:bottom w:val="nil"/>
            </w:tcBorders>
          </w:tcPr>
          <w:p w14:paraId="31E2F888"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(0.0018)</w:t>
            </w:r>
          </w:p>
        </w:tc>
        <w:tc>
          <w:tcPr>
            <w:tcW w:w="864" w:type="pct"/>
            <w:tcBorders>
              <w:top w:val="nil"/>
              <w:bottom w:val="nil"/>
            </w:tcBorders>
          </w:tcPr>
          <w:p w14:paraId="6B653F2A"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(0.0016)</w:t>
            </w:r>
          </w:p>
        </w:tc>
        <w:tc>
          <w:tcPr>
            <w:tcW w:w="787" w:type="pct"/>
            <w:tcBorders>
              <w:top w:val="nil"/>
              <w:bottom w:val="nil"/>
            </w:tcBorders>
          </w:tcPr>
          <w:p w14:paraId="26350C38"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(0.0025)</w:t>
            </w:r>
          </w:p>
        </w:tc>
      </w:tr>
      <w:tr w:rsidR="001503A1" w:rsidRPr="001503A1" w14:paraId="7DD14C89" w14:textId="77777777" w:rsidTr="00746B28">
        <w:tc>
          <w:tcPr>
            <w:tcW w:w="1105" w:type="pct"/>
            <w:tcBorders>
              <w:top w:val="nil"/>
              <w:bottom w:val="nil"/>
            </w:tcBorders>
            <w:vAlign w:val="center"/>
          </w:tcPr>
          <w:p w14:paraId="353FDD3B"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p>
        </w:tc>
        <w:tc>
          <w:tcPr>
            <w:tcW w:w="1079" w:type="pct"/>
            <w:tcBorders>
              <w:top w:val="nil"/>
              <w:bottom w:val="nil"/>
            </w:tcBorders>
            <w:vAlign w:val="center"/>
          </w:tcPr>
          <w:p w14:paraId="6E16FB05"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1165" w:type="pct"/>
            <w:tcBorders>
              <w:top w:val="nil"/>
              <w:bottom w:val="nil"/>
            </w:tcBorders>
            <w:vAlign w:val="center"/>
          </w:tcPr>
          <w:p w14:paraId="02A8DFD0"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864" w:type="pct"/>
            <w:tcBorders>
              <w:top w:val="nil"/>
              <w:bottom w:val="nil"/>
            </w:tcBorders>
            <w:vAlign w:val="center"/>
          </w:tcPr>
          <w:p w14:paraId="239EDEBE"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87" w:type="pct"/>
            <w:tcBorders>
              <w:top w:val="nil"/>
              <w:bottom w:val="nil"/>
            </w:tcBorders>
            <w:vAlign w:val="center"/>
          </w:tcPr>
          <w:p w14:paraId="20D3F100"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7C41F82D" w14:textId="77777777" w:rsidTr="00746B28">
        <w:tc>
          <w:tcPr>
            <w:tcW w:w="1105" w:type="pct"/>
            <w:tcBorders>
              <w:top w:val="nil"/>
              <w:bottom w:val="nil"/>
            </w:tcBorders>
            <w:vAlign w:val="center"/>
          </w:tcPr>
          <w:p w14:paraId="6172252B"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个体效应</w:t>
            </w:r>
          </w:p>
        </w:tc>
        <w:tc>
          <w:tcPr>
            <w:tcW w:w="1079" w:type="pct"/>
            <w:tcBorders>
              <w:top w:val="nil"/>
              <w:bottom w:val="nil"/>
            </w:tcBorders>
            <w:vAlign w:val="center"/>
          </w:tcPr>
          <w:p w14:paraId="7308D722"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1165" w:type="pct"/>
            <w:tcBorders>
              <w:top w:val="nil"/>
              <w:bottom w:val="nil"/>
            </w:tcBorders>
            <w:vAlign w:val="center"/>
          </w:tcPr>
          <w:p w14:paraId="35321E80"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864" w:type="pct"/>
            <w:tcBorders>
              <w:top w:val="nil"/>
              <w:bottom w:val="nil"/>
            </w:tcBorders>
            <w:vAlign w:val="center"/>
          </w:tcPr>
          <w:p w14:paraId="5EC8E4BF"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87" w:type="pct"/>
            <w:tcBorders>
              <w:top w:val="nil"/>
              <w:bottom w:val="nil"/>
            </w:tcBorders>
            <w:vAlign w:val="center"/>
          </w:tcPr>
          <w:p w14:paraId="5BFC61D4"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4A4E2B04" w14:textId="77777777" w:rsidTr="00746B28">
        <w:tc>
          <w:tcPr>
            <w:tcW w:w="1105" w:type="pct"/>
            <w:tcBorders>
              <w:top w:val="nil"/>
              <w:bottom w:val="nil"/>
            </w:tcBorders>
            <w:vAlign w:val="center"/>
          </w:tcPr>
          <w:p w14:paraId="09DAC159"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时间效应</w:t>
            </w:r>
          </w:p>
        </w:tc>
        <w:tc>
          <w:tcPr>
            <w:tcW w:w="1079" w:type="pct"/>
            <w:tcBorders>
              <w:top w:val="nil"/>
              <w:bottom w:val="nil"/>
            </w:tcBorders>
            <w:vAlign w:val="center"/>
          </w:tcPr>
          <w:p w14:paraId="2838357F"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1165" w:type="pct"/>
            <w:tcBorders>
              <w:top w:val="nil"/>
              <w:bottom w:val="nil"/>
            </w:tcBorders>
            <w:vAlign w:val="center"/>
          </w:tcPr>
          <w:p w14:paraId="0F690B87"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864" w:type="pct"/>
            <w:tcBorders>
              <w:top w:val="nil"/>
              <w:bottom w:val="nil"/>
            </w:tcBorders>
            <w:vAlign w:val="center"/>
          </w:tcPr>
          <w:p w14:paraId="4BEBEAF9"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787" w:type="pct"/>
            <w:tcBorders>
              <w:top w:val="nil"/>
              <w:bottom w:val="nil"/>
            </w:tcBorders>
            <w:vAlign w:val="center"/>
          </w:tcPr>
          <w:p w14:paraId="34A21D63"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2FB9E368" w14:textId="77777777" w:rsidTr="00746B28">
        <w:tc>
          <w:tcPr>
            <w:tcW w:w="1105" w:type="pct"/>
            <w:tcBorders>
              <w:top w:val="nil"/>
              <w:bottom w:val="single" w:sz="4" w:space="0" w:color="auto"/>
            </w:tcBorders>
            <w:vAlign w:val="center"/>
          </w:tcPr>
          <w:p w14:paraId="33D5204E"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行业</w:t>
            </w:r>
            <w:r w:rsidRPr="001503A1">
              <w:rPr>
                <w:rFonts w:ascii="Times New Roman" w:eastAsia="楷体" w:hAnsi="Times New Roman" w:cs="Times New Roman"/>
                <w:color w:val="000000" w:themeColor="text1"/>
                <w:kern w:val="0"/>
                <w:sz w:val="18"/>
                <w:szCs w:val="18"/>
              </w:rPr>
              <w:t>×</w:t>
            </w:r>
            <w:r w:rsidRPr="001503A1">
              <w:rPr>
                <w:rFonts w:ascii="Times New Roman" w:eastAsia="楷体" w:hAnsi="Times New Roman" w:cs="Times New Roman"/>
                <w:color w:val="000000" w:themeColor="text1"/>
                <w:kern w:val="0"/>
                <w:sz w:val="18"/>
                <w:szCs w:val="18"/>
              </w:rPr>
              <w:t>时间效应</w:t>
            </w:r>
          </w:p>
        </w:tc>
        <w:tc>
          <w:tcPr>
            <w:tcW w:w="1079" w:type="pct"/>
            <w:tcBorders>
              <w:top w:val="nil"/>
              <w:bottom w:val="single" w:sz="4" w:space="0" w:color="auto"/>
            </w:tcBorders>
            <w:vAlign w:val="center"/>
          </w:tcPr>
          <w:p w14:paraId="124520BD"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未</w:t>
            </w:r>
            <w:r w:rsidRPr="001503A1">
              <w:rPr>
                <w:rFonts w:ascii="Times New Roman" w:eastAsia="楷体" w:hAnsi="Times New Roman" w:cs="Times New Roman"/>
                <w:color w:val="000000" w:themeColor="text1"/>
                <w:kern w:val="0"/>
                <w:sz w:val="18"/>
                <w:szCs w:val="18"/>
              </w:rPr>
              <w:t>控制</w:t>
            </w:r>
          </w:p>
        </w:tc>
        <w:tc>
          <w:tcPr>
            <w:tcW w:w="1165" w:type="pct"/>
            <w:tcBorders>
              <w:top w:val="nil"/>
              <w:bottom w:val="single" w:sz="4" w:space="0" w:color="auto"/>
            </w:tcBorders>
            <w:vAlign w:val="center"/>
          </w:tcPr>
          <w:p w14:paraId="0105A252"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864" w:type="pct"/>
            <w:tcBorders>
              <w:top w:val="nil"/>
              <w:bottom w:val="single" w:sz="4" w:space="0" w:color="auto"/>
            </w:tcBorders>
            <w:vAlign w:val="center"/>
          </w:tcPr>
          <w:p w14:paraId="5030C4FB"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未控制</w:t>
            </w:r>
          </w:p>
        </w:tc>
        <w:tc>
          <w:tcPr>
            <w:tcW w:w="787" w:type="pct"/>
            <w:tcBorders>
              <w:top w:val="nil"/>
              <w:bottom w:val="single" w:sz="4" w:space="0" w:color="auto"/>
            </w:tcBorders>
            <w:vAlign w:val="center"/>
          </w:tcPr>
          <w:p w14:paraId="7A01BCEE"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未</w:t>
            </w:r>
            <w:r w:rsidRPr="001503A1">
              <w:rPr>
                <w:rFonts w:ascii="Times New Roman" w:eastAsia="楷体" w:hAnsi="Times New Roman" w:cs="Times New Roman"/>
                <w:color w:val="000000" w:themeColor="text1"/>
                <w:kern w:val="0"/>
                <w:sz w:val="18"/>
                <w:szCs w:val="18"/>
              </w:rPr>
              <w:t>控制</w:t>
            </w:r>
          </w:p>
        </w:tc>
      </w:tr>
      <w:tr w:rsidR="001503A1" w:rsidRPr="001503A1" w14:paraId="0CAFDCF8" w14:textId="77777777" w:rsidTr="00746B28">
        <w:tc>
          <w:tcPr>
            <w:tcW w:w="1105" w:type="pct"/>
            <w:tcBorders>
              <w:top w:val="single" w:sz="4" w:space="0" w:color="auto"/>
              <w:bottom w:val="nil"/>
            </w:tcBorders>
            <w:vAlign w:val="center"/>
          </w:tcPr>
          <w:p w14:paraId="0955EAD2"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观测值</w:t>
            </w:r>
          </w:p>
        </w:tc>
        <w:tc>
          <w:tcPr>
            <w:tcW w:w="1079" w:type="pct"/>
            <w:tcBorders>
              <w:top w:val="single" w:sz="4" w:space="0" w:color="auto"/>
              <w:bottom w:val="nil"/>
            </w:tcBorders>
          </w:tcPr>
          <w:p w14:paraId="401E2C31"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8100</w:t>
            </w:r>
          </w:p>
        </w:tc>
        <w:tc>
          <w:tcPr>
            <w:tcW w:w="1165" w:type="pct"/>
            <w:tcBorders>
              <w:top w:val="single" w:sz="4" w:space="0" w:color="auto"/>
              <w:bottom w:val="nil"/>
            </w:tcBorders>
          </w:tcPr>
          <w:p w14:paraId="60922C97"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864" w:type="pct"/>
            <w:tcBorders>
              <w:top w:val="single" w:sz="4" w:space="0" w:color="auto"/>
              <w:bottom w:val="nil"/>
            </w:tcBorders>
          </w:tcPr>
          <w:p w14:paraId="62C5800F"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787" w:type="pct"/>
            <w:tcBorders>
              <w:top w:val="single" w:sz="4" w:space="0" w:color="auto"/>
              <w:bottom w:val="nil"/>
            </w:tcBorders>
          </w:tcPr>
          <w:p w14:paraId="4DCEAC2B"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r>
      <w:tr w:rsidR="001A124A" w:rsidRPr="001503A1" w14:paraId="5F9ECF19" w14:textId="77777777" w:rsidTr="00746B28">
        <w:tc>
          <w:tcPr>
            <w:tcW w:w="1105" w:type="pct"/>
            <w:tcBorders>
              <w:top w:val="nil"/>
            </w:tcBorders>
            <w:vAlign w:val="center"/>
          </w:tcPr>
          <w:p w14:paraId="51BCC66C" w14:textId="77777777" w:rsidR="001A124A" w:rsidRPr="001503A1" w:rsidRDefault="001A124A" w:rsidP="001A124A">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Adj.R</w:t>
            </w:r>
            <w:r w:rsidRPr="001503A1">
              <w:rPr>
                <w:rFonts w:ascii="Times New Roman" w:eastAsia="楷体" w:hAnsi="Times New Roman" w:cs="Times New Roman"/>
                <w:color w:val="000000" w:themeColor="text1"/>
                <w:kern w:val="0"/>
                <w:sz w:val="18"/>
                <w:szCs w:val="18"/>
                <w:vertAlign w:val="superscript"/>
              </w:rPr>
              <w:t>2</w:t>
            </w:r>
          </w:p>
        </w:tc>
        <w:tc>
          <w:tcPr>
            <w:tcW w:w="1079" w:type="pct"/>
            <w:tcBorders>
              <w:top w:val="nil"/>
            </w:tcBorders>
          </w:tcPr>
          <w:p w14:paraId="5214FD24"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0.4176</w:t>
            </w:r>
          </w:p>
        </w:tc>
        <w:tc>
          <w:tcPr>
            <w:tcW w:w="1165" w:type="pct"/>
            <w:tcBorders>
              <w:top w:val="nil"/>
            </w:tcBorders>
          </w:tcPr>
          <w:p w14:paraId="0A403B1A"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0.4677</w:t>
            </w:r>
          </w:p>
        </w:tc>
        <w:tc>
          <w:tcPr>
            <w:tcW w:w="864" w:type="pct"/>
            <w:tcBorders>
              <w:top w:val="nil"/>
            </w:tcBorders>
          </w:tcPr>
          <w:p w14:paraId="5D2812EF"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0.4219</w:t>
            </w:r>
          </w:p>
        </w:tc>
        <w:tc>
          <w:tcPr>
            <w:tcW w:w="787" w:type="pct"/>
            <w:tcBorders>
              <w:top w:val="nil"/>
            </w:tcBorders>
          </w:tcPr>
          <w:p w14:paraId="656B4765" w14:textId="77777777" w:rsidR="001A124A" w:rsidRPr="001503A1" w:rsidRDefault="001A124A" w:rsidP="001A124A">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0.4219</w:t>
            </w:r>
          </w:p>
        </w:tc>
      </w:tr>
    </w:tbl>
    <w:p w14:paraId="17F052BF" w14:textId="79A31C8F" w:rsidR="001A124A" w:rsidRPr="001503A1" w:rsidRDefault="001A124A">
      <w:pPr>
        <w:rPr>
          <w:rFonts w:hint="eastAsia"/>
          <w:color w:val="000000" w:themeColor="text1"/>
        </w:rPr>
      </w:pPr>
    </w:p>
    <w:p w14:paraId="5964AF8F" w14:textId="0E537347" w:rsidR="00894251" w:rsidRPr="001503A1" w:rsidRDefault="00894251" w:rsidP="00894251">
      <w:pPr>
        <w:keepNext/>
        <w:keepLines/>
        <w:ind w:firstLineChars="200" w:firstLine="422"/>
        <w:contextualSpacing/>
        <w:outlineLvl w:val="1"/>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附录</w:t>
      </w:r>
      <w:r w:rsidR="00813817">
        <w:rPr>
          <w:rFonts w:ascii="Times New Roman" w:eastAsia="黑体" w:hAnsi="Times New Roman" w:cs="Times New Roman" w:hint="eastAsia"/>
          <w:b/>
          <w:bCs/>
          <w:color w:val="000000" w:themeColor="text1"/>
          <w:szCs w:val="21"/>
        </w:rPr>
        <w:t>3</w:t>
      </w:r>
      <w:r w:rsidRPr="001503A1">
        <w:rPr>
          <w:rFonts w:ascii="Times New Roman" w:eastAsia="黑体" w:hAnsi="Times New Roman" w:cs="Times New Roman" w:hint="eastAsia"/>
          <w:b/>
          <w:bCs/>
          <w:color w:val="000000" w:themeColor="text1"/>
          <w:szCs w:val="21"/>
        </w:rPr>
        <w:t>：排除竞争性解释</w:t>
      </w:r>
    </w:p>
    <w:p w14:paraId="06AFE9DA" w14:textId="43BD0252" w:rsidR="00894251" w:rsidRPr="001503A1" w:rsidRDefault="00894251"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在本文的样本区间内，还存在其他政策可能会降低国有企业风险承担水平。这意味着，基准回归结果可能并非</w:t>
      </w:r>
      <w:r w:rsidR="000378C5" w:rsidRPr="000378C5">
        <w:rPr>
          <w:rFonts w:ascii="Times New Roman" w:eastAsia="宋体" w:hAnsi="Times New Roman" w:cs="Times New Roman" w:hint="eastAsia"/>
          <w:color w:val="000000" w:themeColor="text1"/>
        </w:rPr>
        <w:t>国有资本划转</w:t>
      </w:r>
      <w:r w:rsidRPr="001503A1">
        <w:rPr>
          <w:rFonts w:ascii="Times New Roman" w:eastAsia="宋体" w:hAnsi="Times New Roman" w:cs="Times New Roman"/>
          <w:color w:val="000000" w:themeColor="text1"/>
        </w:rPr>
        <w:t>政策所致，而是样本区间内其他事件的经济效应。为此，有必要对其他同时期的能够降低国有企业风险承担水平的相关政策进行排除。具体操作如下：</w:t>
      </w:r>
    </w:p>
    <w:p w14:paraId="25AB0F10" w14:textId="5243C14C" w:rsidR="00894251" w:rsidRPr="001503A1" w:rsidRDefault="00894251"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第一，排除社保基金持股的干扰。社保基金作为企业的独立大股东，其参与公司治理的积极性不断提高，如通过促进企业设立风险管理委员会等降低企业经营风险</w:t>
      </w:r>
      <w:r w:rsidRPr="001503A1">
        <w:rPr>
          <w:rFonts w:ascii="Times New Roman" w:eastAsia="宋体" w:hAnsi="Times New Roman" w:cs="Times New Roman" w:hint="eastAsia"/>
          <w:color w:val="000000" w:themeColor="text1"/>
        </w:rPr>
        <w:t>和</w:t>
      </w:r>
      <w:r w:rsidRPr="001503A1">
        <w:rPr>
          <w:rFonts w:ascii="Times New Roman" w:eastAsia="宋体" w:hAnsi="Times New Roman" w:cs="Times New Roman"/>
          <w:color w:val="000000" w:themeColor="text1"/>
        </w:rPr>
        <w:t>财务风险（韩贺洋</w:t>
      </w:r>
      <w:r w:rsidR="00FC76D0" w:rsidRPr="001503A1">
        <w:rPr>
          <w:rFonts w:ascii="Times New Roman" w:eastAsia="宋体" w:hAnsi="Times New Roman" w:cs="Times New Roman" w:hint="eastAsia"/>
          <w:color w:val="000000" w:themeColor="text1"/>
        </w:rPr>
        <w:t>等</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2024</w:t>
      </w:r>
      <w:r w:rsidRPr="001503A1">
        <w:rPr>
          <w:rFonts w:ascii="Times New Roman" w:eastAsia="宋体" w:hAnsi="Times New Roman" w:cs="Times New Roman"/>
          <w:color w:val="000000" w:themeColor="text1"/>
        </w:rPr>
        <w:t>）。为排除社保基金持股对本文估计结果的干扰，本文以社保基金持股比值</w:t>
      </w:r>
      <w:r w:rsidRPr="001503A1">
        <w:rPr>
          <w:rFonts w:ascii="Times New Roman" w:eastAsia="宋体" w:hAnsi="Times New Roman" w:cs="Times New Roman" w:hint="eastAsia"/>
          <w:color w:val="000000" w:themeColor="text1"/>
        </w:rPr>
        <w:t>（</w:t>
      </w:r>
      <w:r w:rsidRPr="001503A1">
        <w:rPr>
          <w:rFonts w:ascii="Times New Roman" w:eastAsia="宋体" w:hAnsi="Times New Roman" w:cs="Times New Roman" w:hint="eastAsia"/>
          <w:i/>
          <w:iCs/>
          <w:color w:val="000000" w:themeColor="text1"/>
        </w:rPr>
        <w:t>S</w:t>
      </w:r>
      <w:r w:rsidRPr="001503A1">
        <w:rPr>
          <w:rFonts w:ascii="Times New Roman" w:eastAsia="宋体" w:hAnsi="Times New Roman" w:cs="Times New Roman"/>
          <w:i/>
          <w:iCs/>
          <w:color w:val="000000" w:themeColor="text1"/>
        </w:rPr>
        <w:t>HEB</w:t>
      </w:r>
      <w:r w:rsidRPr="001503A1">
        <w:rPr>
          <w:rFonts w:ascii="Times New Roman" w:eastAsia="宋体" w:hAnsi="Times New Roman" w:cs="Times New Roman" w:hint="eastAsia"/>
          <w:color w:val="000000" w:themeColor="text1"/>
        </w:rPr>
        <w:t>）</w:t>
      </w:r>
      <w:r w:rsidRPr="001503A1">
        <w:rPr>
          <w:rFonts w:ascii="Times New Roman" w:eastAsia="宋体" w:hAnsi="Times New Roman" w:cs="Times New Roman"/>
          <w:color w:val="000000" w:themeColor="text1"/>
        </w:rPr>
        <w:t>作为控制变量，并将其纳入计量模型（</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）中进行重新估计，回归结果见</w:t>
      </w:r>
      <w:r w:rsidR="006246BA" w:rsidRPr="001503A1">
        <w:rPr>
          <w:rFonts w:ascii="Times New Roman" w:eastAsia="宋体" w:hAnsi="Times New Roman" w:cs="Times New Roman" w:hint="eastAsia"/>
          <w:color w:val="000000" w:themeColor="text1"/>
        </w:rPr>
        <w:t>附</w:t>
      </w:r>
      <w:r w:rsidRPr="001503A1">
        <w:rPr>
          <w:rFonts w:ascii="Times New Roman" w:eastAsia="宋体" w:hAnsi="Times New Roman" w:cs="Times New Roman"/>
          <w:color w:val="000000" w:themeColor="text1"/>
        </w:rPr>
        <w:t>表</w:t>
      </w:r>
      <w:r w:rsidR="006246BA" w:rsidRPr="001503A1">
        <w:rPr>
          <w:rFonts w:ascii="Times New Roman" w:eastAsia="宋体" w:hAnsi="Times New Roman" w:cs="Times New Roman" w:hint="eastAsia"/>
          <w:color w:val="000000" w:themeColor="text1"/>
        </w:rPr>
        <w:t>6</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）列。</w:t>
      </w:r>
    </w:p>
    <w:p w14:paraId="2E6D9B80" w14:textId="40684606" w:rsidR="00894251" w:rsidRPr="001503A1" w:rsidRDefault="00894251"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第二，排除经营投资问责政策的干扰。为完善国有资产监管，防止国有资产流失，</w:t>
      </w:r>
      <w:r w:rsidRPr="001503A1">
        <w:rPr>
          <w:rFonts w:ascii="Times New Roman" w:eastAsia="宋体" w:hAnsi="Times New Roman" w:cs="Times New Roman"/>
          <w:color w:val="000000" w:themeColor="text1"/>
        </w:rPr>
        <w:t>2016</w:t>
      </w:r>
      <w:r w:rsidRPr="001503A1">
        <w:rPr>
          <w:rFonts w:ascii="Times New Roman" w:eastAsia="宋体" w:hAnsi="Times New Roman" w:cs="Times New Roman"/>
          <w:color w:val="000000" w:themeColor="text1"/>
        </w:rPr>
        <w:t>年国务院办公厅正式印发了《关于建立国有企业违规经营投资责任追究制度的意见》，首次提出对国有企业高管在经营投资方面的重大决策实行终身责任追究。经证实，经营投资问责政策对国有企业风险承担水平产生了显著的降低作用（陈运森等，</w:t>
      </w:r>
      <w:r w:rsidRPr="001503A1">
        <w:rPr>
          <w:rFonts w:ascii="Times New Roman" w:eastAsia="宋体" w:hAnsi="Times New Roman" w:cs="Times New Roman"/>
          <w:color w:val="000000" w:themeColor="text1"/>
        </w:rPr>
        <w:t>2022</w:t>
      </w:r>
      <w:r w:rsidRPr="001503A1">
        <w:rPr>
          <w:rFonts w:ascii="Times New Roman" w:eastAsia="宋体" w:hAnsi="Times New Roman" w:cs="Times New Roman"/>
          <w:color w:val="000000" w:themeColor="text1"/>
        </w:rPr>
        <w:t>）。为排除经营投资问责政策的干扰，本文定义经营投资问责政策虚拟变量（</w:t>
      </w:r>
      <w:r w:rsidRPr="001503A1">
        <w:rPr>
          <w:rFonts w:ascii="Times New Roman" w:eastAsia="宋体" w:hAnsi="Times New Roman" w:cs="Times New Roman"/>
          <w:i/>
          <w:iCs/>
          <w:color w:val="000000" w:themeColor="text1"/>
        </w:rPr>
        <w:t>JG</w:t>
      </w:r>
      <w:r w:rsidRPr="001503A1">
        <w:rPr>
          <w:rFonts w:ascii="Times New Roman" w:eastAsia="宋体" w:hAnsi="Times New Roman" w:cs="Times New Roman" w:hint="eastAsia"/>
          <w:color w:val="000000" w:themeColor="text1"/>
        </w:rPr>
        <w:t>）。在</w:t>
      </w:r>
      <w:r w:rsidRPr="001503A1">
        <w:rPr>
          <w:rFonts w:ascii="Times New Roman" w:eastAsia="宋体" w:hAnsi="Times New Roman" w:cs="Times New Roman"/>
          <w:color w:val="000000" w:themeColor="text1"/>
        </w:rPr>
        <w:t>企业所属地区</w:t>
      </w:r>
      <w:r w:rsidRPr="001503A1">
        <w:rPr>
          <w:rFonts w:ascii="Times New Roman" w:eastAsia="宋体" w:hAnsi="Times New Roman" w:cs="Times New Roman" w:hint="eastAsia"/>
          <w:color w:val="000000" w:themeColor="text1"/>
        </w:rPr>
        <w:t>出台</w:t>
      </w:r>
      <w:r w:rsidRPr="001503A1">
        <w:rPr>
          <w:rFonts w:ascii="Times New Roman" w:eastAsia="宋体" w:hAnsi="Times New Roman" w:cs="Times New Roman"/>
          <w:color w:val="000000" w:themeColor="text1"/>
        </w:rPr>
        <w:t>违规经营投资追责制度</w:t>
      </w:r>
      <w:r w:rsidRPr="001503A1">
        <w:rPr>
          <w:rFonts w:ascii="Times New Roman" w:eastAsia="宋体" w:hAnsi="Times New Roman" w:cs="Times New Roman" w:hint="eastAsia"/>
          <w:color w:val="000000" w:themeColor="text1"/>
        </w:rPr>
        <w:t>的</w:t>
      </w:r>
      <w:r w:rsidRPr="001503A1">
        <w:rPr>
          <w:rFonts w:ascii="Times New Roman" w:eastAsia="宋体" w:hAnsi="Times New Roman" w:cs="Times New Roman"/>
          <w:color w:val="000000" w:themeColor="text1"/>
        </w:rPr>
        <w:t>当年及以后年份赋值为</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，否则为</w:t>
      </w:r>
      <w:r w:rsidRPr="001503A1">
        <w:rPr>
          <w:rFonts w:ascii="Times New Roman" w:eastAsia="宋体" w:hAnsi="Times New Roman" w:cs="Times New Roman"/>
          <w:color w:val="000000" w:themeColor="text1"/>
        </w:rPr>
        <w:t>0</w:t>
      </w:r>
      <w:r w:rsidRPr="001503A1">
        <w:rPr>
          <w:rFonts w:ascii="Times New Roman" w:eastAsia="宋体" w:hAnsi="Times New Roman" w:cs="Times New Roman"/>
          <w:color w:val="000000" w:themeColor="text1"/>
        </w:rPr>
        <w:t>；中央企业在</w:t>
      </w:r>
      <w:r w:rsidRPr="001503A1">
        <w:rPr>
          <w:rFonts w:ascii="Times New Roman" w:eastAsia="宋体" w:hAnsi="Times New Roman" w:cs="Times New Roman"/>
          <w:color w:val="000000" w:themeColor="text1"/>
        </w:rPr>
        <w:t>2018</w:t>
      </w:r>
      <w:r w:rsidRPr="001503A1">
        <w:rPr>
          <w:rFonts w:ascii="Times New Roman" w:eastAsia="宋体" w:hAnsi="Times New Roman" w:cs="Times New Roman"/>
          <w:color w:val="000000" w:themeColor="text1"/>
        </w:rPr>
        <w:t>年及以后年份赋值为</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，否则为</w:t>
      </w:r>
      <w:r w:rsidRPr="001503A1">
        <w:rPr>
          <w:rFonts w:ascii="Times New Roman" w:eastAsia="宋体" w:hAnsi="Times New Roman" w:cs="Times New Roman"/>
          <w:color w:val="000000" w:themeColor="text1"/>
        </w:rPr>
        <w:t>0</w:t>
      </w:r>
      <w:r w:rsidRPr="001503A1">
        <w:rPr>
          <w:rFonts w:ascii="Times New Roman" w:eastAsia="宋体" w:hAnsi="Times New Roman" w:cs="Times New Roman"/>
          <w:color w:val="000000" w:themeColor="text1"/>
        </w:rPr>
        <w:t>，并将其作为控制变量纳入计量模型（</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）中进行重新估计，回归结果见</w:t>
      </w:r>
      <w:r w:rsidR="00677B03" w:rsidRPr="001503A1">
        <w:rPr>
          <w:rFonts w:ascii="Times New Roman" w:eastAsia="宋体" w:hAnsi="Times New Roman" w:cs="Times New Roman" w:hint="eastAsia"/>
          <w:color w:val="000000" w:themeColor="text1"/>
        </w:rPr>
        <w:t>附表</w:t>
      </w:r>
      <w:r w:rsidR="00677B03" w:rsidRPr="001503A1">
        <w:rPr>
          <w:rFonts w:ascii="Times New Roman" w:eastAsia="宋体" w:hAnsi="Times New Roman" w:cs="Times New Roman" w:hint="eastAsia"/>
          <w:color w:val="000000" w:themeColor="text1"/>
        </w:rPr>
        <w:t>6</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2</w:t>
      </w:r>
      <w:r w:rsidRPr="001503A1">
        <w:rPr>
          <w:rFonts w:ascii="Times New Roman" w:eastAsia="宋体" w:hAnsi="Times New Roman" w:cs="Times New Roman"/>
          <w:color w:val="000000" w:themeColor="text1"/>
        </w:rPr>
        <w:t>）列。</w:t>
      </w:r>
    </w:p>
    <w:p w14:paraId="3DF34A4D" w14:textId="40F3E92B" w:rsidR="00894251" w:rsidRPr="001503A1" w:rsidRDefault="00894251"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第三，排除薪酬监管政策的干扰。为激励高管肩负企业持续经营责任，缓解管理层短视行为，进一步提高国有企业的经营效率，</w:t>
      </w:r>
      <w:r w:rsidRPr="001503A1">
        <w:rPr>
          <w:rFonts w:ascii="Times New Roman" w:eastAsia="宋体" w:hAnsi="Times New Roman" w:cs="Times New Roman"/>
          <w:color w:val="000000" w:themeColor="text1"/>
        </w:rPr>
        <w:t>2015</w:t>
      </w:r>
      <w:r w:rsidRPr="001503A1">
        <w:rPr>
          <w:rFonts w:ascii="Times New Roman" w:eastAsia="宋体" w:hAnsi="Times New Roman" w:cs="Times New Roman"/>
          <w:color w:val="000000" w:themeColor="text1"/>
        </w:rPr>
        <w:t>年</w:t>
      </w:r>
      <w:r w:rsidRPr="001503A1">
        <w:rPr>
          <w:rFonts w:ascii="Times New Roman" w:eastAsia="宋体" w:hAnsi="Times New Roman" w:cs="Times New Roman" w:hint="eastAsia"/>
          <w:color w:val="000000" w:themeColor="text1"/>
        </w:rPr>
        <w:t>开始</w:t>
      </w:r>
      <w:r w:rsidRPr="001503A1">
        <w:rPr>
          <w:rFonts w:ascii="Times New Roman" w:eastAsia="宋体" w:hAnsi="Times New Roman" w:cs="Times New Roman"/>
          <w:color w:val="000000" w:themeColor="text1"/>
        </w:rPr>
        <w:t>实施的《中央管理企业负责人薪酬制度改革方案》对于发挥薪酬激励以降低企业低效率决策行为，使国有企业风险承担水平达到最优提供了可能（台文志</w:t>
      </w:r>
      <w:r w:rsidR="001E4133" w:rsidRPr="001503A1">
        <w:rPr>
          <w:rFonts w:ascii="Times New Roman" w:eastAsia="宋体" w:hAnsi="Times New Roman" w:cs="Times New Roman" w:hint="eastAsia"/>
          <w:color w:val="000000" w:themeColor="text1"/>
        </w:rPr>
        <w:t>等</w:t>
      </w:r>
      <w:r w:rsidRPr="001503A1">
        <w:rPr>
          <w:rFonts w:ascii="Times New Roman" w:eastAsia="宋体" w:hAnsi="Times New Roman" w:cs="Times New Roman"/>
          <w:color w:val="000000" w:themeColor="text1"/>
        </w:rPr>
        <w:t>，</w:t>
      </w:r>
      <w:r w:rsidRPr="001503A1">
        <w:rPr>
          <w:rFonts w:ascii="Times New Roman" w:eastAsia="宋体" w:hAnsi="Times New Roman" w:cs="Times New Roman"/>
          <w:color w:val="000000" w:themeColor="text1"/>
        </w:rPr>
        <w:t>2024</w:t>
      </w:r>
      <w:r w:rsidRPr="001503A1">
        <w:rPr>
          <w:rFonts w:ascii="Times New Roman" w:eastAsia="宋体" w:hAnsi="Times New Roman" w:cs="Times New Roman"/>
          <w:color w:val="000000" w:themeColor="text1"/>
        </w:rPr>
        <w:t>）。为排除薪酬监管政策影响，本文构建了薪酬监管政策虚拟变量</w:t>
      </w:r>
      <w:r w:rsidRPr="001503A1">
        <w:rPr>
          <w:rFonts w:ascii="Times New Roman" w:eastAsia="宋体" w:hAnsi="Times New Roman" w:cs="Times New Roman" w:hint="eastAsia"/>
          <w:color w:val="000000" w:themeColor="text1"/>
        </w:rPr>
        <w:t>（</w:t>
      </w:r>
      <w:r w:rsidRPr="001503A1">
        <w:rPr>
          <w:rFonts w:ascii="Times New Roman" w:eastAsia="宋体" w:hAnsi="Times New Roman" w:cs="Times New Roman"/>
          <w:i/>
          <w:iCs/>
          <w:color w:val="000000" w:themeColor="text1"/>
        </w:rPr>
        <w:t>Post2015</w:t>
      </w:r>
      <w:r w:rsidRPr="001503A1">
        <w:rPr>
          <w:rFonts w:ascii="Times New Roman" w:eastAsia="宋体" w:hAnsi="Times New Roman" w:cs="Times New Roman" w:hint="eastAsia"/>
          <w:color w:val="000000" w:themeColor="text1"/>
        </w:rPr>
        <w:t>）</w:t>
      </w:r>
      <w:r w:rsidRPr="001503A1">
        <w:rPr>
          <w:rFonts w:ascii="Times New Roman" w:eastAsia="宋体" w:hAnsi="Times New Roman" w:cs="Times New Roman"/>
          <w:color w:val="000000" w:themeColor="text1"/>
        </w:rPr>
        <w:t>，</w:t>
      </w:r>
      <w:r w:rsidRPr="001503A1">
        <w:rPr>
          <w:rFonts w:ascii="Times New Roman" w:eastAsia="宋体" w:hAnsi="Times New Roman" w:cs="Times New Roman" w:hint="eastAsia"/>
          <w:color w:val="000000" w:themeColor="text1"/>
        </w:rPr>
        <w:t>定义为</w:t>
      </w:r>
      <w:r w:rsidRPr="001503A1">
        <w:rPr>
          <w:rFonts w:ascii="Times New Roman" w:eastAsia="宋体" w:hAnsi="Times New Roman" w:cs="Times New Roman"/>
          <w:color w:val="000000" w:themeColor="text1"/>
        </w:rPr>
        <w:t>2015</w:t>
      </w:r>
      <w:r w:rsidRPr="001503A1">
        <w:rPr>
          <w:rFonts w:ascii="Times New Roman" w:eastAsia="宋体" w:hAnsi="Times New Roman" w:cs="Times New Roman"/>
          <w:color w:val="000000" w:themeColor="text1"/>
        </w:rPr>
        <w:t>年及之后赋值为</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，否则</w:t>
      </w:r>
      <w:r w:rsidRPr="001503A1">
        <w:rPr>
          <w:rFonts w:ascii="Times New Roman" w:eastAsia="宋体" w:hAnsi="Times New Roman" w:cs="Times New Roman"/>
          <w:color w:val="000000" w:themeColor="text1"/>
        </w:rPr>
        <w:t>0</w:t>
      </w:r>
      <w:r w:rsidRPr="001503A1">
        <w:rPr>
          <w:rFonts w:ascii="Times New Roman" w:eastAsia="宋体" w:hAnsi="Times New Roman" w:cs="Times New Roman" w:hint="eastAsia"/>
          <w:color w:val="000000" w:themeColor="text1"/>
        </w:rPr>
        <w:t>，</w:t>
      </w:r>
      <w:r w:rsidRPr="001503A1">
        <w:rPr>
          <w:rFonts w:ascii="Times New Roman" w:eastAsia="宋体" w:hAnsi="Times New Roman" w:cs="Times New Roman"/>
          <w:color w:val="000000" w:themeColor="text1"/>
        </w:rPr>
        <w:t>将其与</w:t>
      </w:r>
      <w:r w:rsidRPr="001503A1">
        <w:rPr>
          <w:rFonts w:ascii="Times New Roman" w:eastAsia="宋体" w:hAnsi="Times New Roman" w:cs="Times New Roman" w:hint="eastAsia"/>
          <w:color w:val="000000" w:themeColor="text1"/>
        </w:rPr>
        <w:t>处理组</w:t>
      </w:r>
      <w:r w:rsidRPr="001503A1">
        <w:rPr>
          <w:rFonts w:ascii="Times New Roman" w:eastAsia="宋体" w:hAnsi="Times New Roman" w:cs="Times New Roman"/>
          <w:color w:val="000000" w:themeColor="text1"/>
        </w:rPr>
        <w:t>变量</w:t>
      </w:r>
      <w:r w:rsidRPr="001503A1">
        <w:rPr>
          <w:rFonts w:ascii="Times New Roman" w:eastAsia="宋体" w:hAnsi="Times New Roman" w:cs="Times New Roman" w:hint="eastAsia"/>
          <w:color w:val="000000" w:themeColor="text1"/>
        </w:rPr>
        <w:t>（</w:t>
      </w:r>
      <w:r w:rsidRPr="001503A1">
        <w:rPr>
          <w:rFonts w:ascii="Times New Roman" w:eastAsia="宋体" w:hAnsi="Times New Roman" w:cs="Times New Roman"/>
          <w:i/>
          <w:iCs/>
          <w:color w:val="000000" w:themeColor="text1"/>
        </w:rPr>
        <w:t>Centeral</w:t>
      </w:r>
      <w:r w:rsidRPr="001503A1">
        <w:rPr>
          <w:rFonts w:ascii="Times New Roman" w:eastAsia="宋体" w:hAnsi="Times New Roman" w:cs="Times New Roman" w:hint="eastAsia"/>
          <w:color w:val="000000" w:themeColor="text1"/>
        </w:rPr>
        <w:t>，中央企业取</w:t>
      </w:r>
      <w:r w:rsidRPr="001503A1">
        <w:rPr>
          <w:rFonts w:ascii="Times New Roman" w:eastAsia="宋体" w:hAnsi="Times New Roman" w:cs="Times New Roman" w:hint="eastAsia"/>
          <w:color w:val="000000" w:themeColor="text1"/>
        </w:rPr>
        <w:t>1</w:t>
      </w:r>
      <w:r w:rsidRPr="001503A1">
        <w:rPr>
          <w:rFonts w:ascii="Times New Roman" w:eastAsia="宋体" w:hAnsi="Times New Roman" w:cs="Times New Roman" w:hint="eastAsia"/>
          <w:color w:val="000000" w:themeColor="text1"/>
        </w:rPr>
        <w:t>，否则取</w:t>
      </w:r>
      <w:r w:rsidRPr="001503A1">
        <w:rPr>
          <w:rFonts w:ascii="Times New Roman" w:eastAsia="宋体" w:hAnsi="Times New Roman" w:cs="Times New Roman" w:hint="eastAsia"/>
          <w:color w:val="000000" w:themeColor="text1"/>
        </w:rPr>
        <w:t>0</w:t>
      </w:r>
      <w:r w:rsidRPr="001503A1">
        <w:rPr>
          <w:rFonts w:ascii="Times New Roman" w:eastAsia="宋体" w:hAnsi="Times New Roman" w:cs="Times New Roman" w:hint="eastAsia"/>
          <w:color w:val="000000" w:themeColor="text1"/>
        </w:rPr>
        <w:t>）</w:t>
      </w:r>
      <w:r w:rsidRPr="001503A1">
        <w:rPr>
          <w:rFonts w:ascii="Times New Roman" w:eastAsia="宋体" w:hAnsi="Times New Roman" w:cs="Times New Roman"/>
          <w:color w:val="000000" w:themeColor="text1"/>
        </w:rPr>
        <w:t>交乘，随后将该交互项纳入计量模型（</w:t>
      </w:r>
      <w:r w:rsidRPr="001503A1">
        <w:rPr>
          <w:rFonts w:ascii="Times New Roman" w:eastAsia="宋体" w:hAnsi="Times New Roman" w:cs="Times New Roman"/>
          <w:color w:val="000000" w:themeColor="text1"/>
        </w:rPr>
        <w:t>1</w:t>
      </w:r>
      <w:r w:rsidRPr="001503A1">
        <w:rPr>
          <w:rFonts w:ascii="Times New Roman" w:eastAsia="宋体" w:hAnsi="Times New Roman" w:cs="Times New Roman"/>
          <w:color w:val="000000" w:themeColor="text1"/>
        </w:rPr>
        <w:t>）中进行重新估计，回归结果见</w:t>
      </w:r>
      <w:r w:rsidR="00677B03" w:rsidRPr="001503A1">
        <w:rPr>
          <w:rFonts w:ascii="Times New Roman" w:eastAsia="宋体" w:hAnsi="Times New Roman" w:cs="Times New Roman" w:hint="eastAsia"/>
          <w:color w:val="000000" w:themeColor="text1"/>
        </w:rPr>
        <w:t>附</w:t>
      </w:r>
      <w:r w:rsidR="00677B03" w:rsidRPr="001503A1">
        <w:rPr>
          <w:rFonts w:ascii="Times New Roman" w:eastAsia="宋体" w:hAnsi="Times New Roman" w:cs="Times New Roman"/>
          <w:color w:val="000000" w:themeColor="text1"/>
        </w:rPr>
        <w:t>表</w:t>
      </w:r>
      <w:r w:rsidR="00677B03" w:rsidRPr="001503A1">
        <w:rPr>
          <w:rFonts w:ascii="Times New Roman" w:eastAsia="宋体" w:hAnsi="Times New Roman" w:cs="Times New Roman" w:hint="eastAsia"/>
          <w:color w:val="000000" w:themeColor="text1"/>
        </w:rPr>
        <w:t>6</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3</w:t>
      </w:r>
      <w:r w:rsidRPr="001503A1">
        <w:rPr>
          <w:rFonts w:ascii="Times New Roman" w:eastAsia="宋体" w:hAnsi="Times New Roman" w:cs="Times New Roman"/>
          <w:color w:val="000000" w:themeColor="text1"/>
        </w:rPr>
        <w:t>）列。</w:t>
      </w:r>
    </w:p>
    <w:p w14:paraId="39764CC8" w14:textId="33DD7754" w:rsidR="00894251" w:rsidRPr="001503A1" w:rsidRDefault="00894251" w:rsidP="00FC76D0">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rPr>
        <w:t>特别地，本文还同时排除了社保基金持股、经营投资问责政策和薪酬监管政策对国有企业风险承担水平的影响，结果见</w:t>
      </w:r>
      <w:r w:rsidR="00677B03" w:rsidRPr="001503A1">
        <w:rPr>
          <w:rFonts w:ascii="Times New Roman" w:eastAsia="宋体" w:hAnsi="Times New Roman" w:cs="Times New Roman" w:hint="eastAsia"/>
          <w:color w:val="000000" w:themeColor="text1"/>
        </w:rPr>
        <w:t>附</w:t>
      </w:r>
      <w:r w:rsidR="00677B03" w:rsidRPr="001503A1">
        <w:rPr>
          <w:rFonts w:ascii="Times New Roman" w:eastAsia="宋体" w:hAnsi="Times New Roman" w:cs="Times New Roman"/>
          <w:color w:val="000000" w:themeColor="text1"/>
        </w:rPr>
        <w:t>表</w:t>
      </w:r>
      <w:r w:rsidR="00677B03" w:rsidRPr="001503A1">
        <w:rPr>
          <w:rFonts w:ascii="Times New Roman" w:eastAsia="宋体" w:hAnsi="Times New Roman" w:cs="Times New Roman" w:hint="eastAsia"/>
          <w:color w:val="000000" w:themeColor="text1"/>
        </w:rPr>
        <w:t>6</w:t>
      </w:r>
      <w:r w:rsidRPr="001503A1">
        <w:rPr>
          <w:rFonts w:ascii="Times New Roman" w:eastAsia="宋体" w:hAnsi="Times New Roman" w:cs="Times New Roman"/>
          <w:color w:val="000000" w:themeColor="text1"/>
        </w:rPr>
        <w:t>第（</w:t>
      </w:r>
      <w:r w:rsidRPr="001503A1">
        <w:rPr>
          <w:rFonts w:ascii="Times New Roman" w:eastAsia="宋体" w:hAnsi="Times New Roman" w:cs="Times New Roman"/>
          <w:color w:val="000000" w:themeColor="text1"/>
        </w:rPr>
        <w:t>4</w:t>
      </w:r>
      <w:r w:rsidRPr="001503A1">
        <w:rPr>
          <w:rFonts w:ascii="Times New Roman" w:eastAsia="宋体" w:hAnsi="Times New Roman" w:cs="Times New Roman"/>
          <w:color w:val="000000" w:themeColor="text1"/>
        </w:rPr>
        <w:t>）列。观察可知，在控制上述政策的干扰后，</w:t>
      </w:r>
      <w:r w:rsidRPr="001503A1">
        <w:rPr>
          <w:rFonts w:ascii="Times New Roman" w:eastAsia="宋体" w:hAnsi="Times New Roman" w:cs="Times New Roman"/>
          <w:i/>
          <w:iCs/>
          <w:color w:val="000000" w:themeColor="text1"/>
        </w:rPr>
        <w:t>Transfer</w:t>
      </w:r>
      <w:r w:rsidRPr="001503A1">
        <w:rPr>
          <w:rFonts w:ascii="Times New Roman" w:eastAsia="宋体" w:hAnsi="Times New Roman" w:cs="Times New Roman"/>
          <w:color w:val="000000" w:themeColor="text1"/>
        </w:rPr>
        <w:t>的估计系数仍显著为负，表明</w:t>
      </w:r>
      <w:r w:rsidR="000378C5" w:rsidRPr="000378C5">
        <w:rPr>
          <w:rFonts w:ascii="Times New Roman" w:eastAsia="宋体" w:hAnsi="Times New Roman" w:cs="Times New Roman" w:hint="eastAsia"/>
          <w:color w:val="000000" w:themeColor="text1"/>
        </w:rPr>
        <w:t>国有资本划转</w:t>
      </w:r>
      <w:r w:rsidRPr="001503A1">
        <w:rPr>
          <w:rFonts w:ascii="Times New Roman" w:eastAsia="宋体" w:hAnsi="Times New Roman" w:cs="Times New Roman"/>
          <w:color w:val="000000" w:themeColor="text1"/>
        </w:rPr>
        <w:t>对国有企业风险承担水平的降低作用不受同时期其他政策影响。</w:t>
      </w:r>
    </w:p>
    <w:p w14:paraId="0A6C6236" w14:textId="0213FC21" w:rsidR="00894251" w:rsidRPr="001503A1" w:rsidRDefault="00894251" w:rsidP="00894251">
      <w:pPr>
        <w:ind w:firstLineChars="200" w:firstLine="422"/>
        <w:contextualSpacing/>
        <w:jc w:val="left"/>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附表</w:t>
      </w:r>
      <w:r w:rsidRPr="001503A1">
        <w:rPr>
          <w:rFonts w:ascii="Times New Roman" w:eastAsia="黑体" w:hAnsi="Times New Roman" w:cs="Times New Roman" w:hint="eastAsia"/>
          <w:b/>
          <w:bCs/>
          <w:color w:val="000000" w:themeColor="text1"/>
          <w:szCs w:val="21"/>
        </w:rPr>
        <w:t xml:space="preserve">6 </w:t>
      </w:r>
      <w:r w:rsidRPr="001503A1">
        <w:rPr>
          <w:rFonts w:ascii="Times New Roman" w:eastAsia="黑体" w:hAnsi="Times New Roman" w:cs="Times New Roman"/>
          <w:b/>
          <w:bCs/>
          <w:color w:val="000000" w:themeColor="text1"/>
          <w:szCs w:val="21"/>
        </w:rPr>
        <w:t xml:space="preserve">                             </w:t>
      </w:r>
      <w:r w:rsidRPr="001503A1">
        <w:rPr>
          <w:rFonts w:ascii="Times New Roman" w:eastAsia="黑体" w:hAnsi="Times New Roman" w:cs="Times New Roman" w:hint="eastAsia"/>
          <w:b/>
          <w:bCs/>
          <w:color w:val="000000" w:themeColor="text1"/>
          <w:szCs w:val="21"/>
        </w:rPr>
        <w:t>排除其他同时期政策</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35"/>
        <w:gridCol w:w="1696"/>
        <w:gridCol w:w="2086"/>
        <w:gridCol w:w="1670"/>
        <w:gridCol w:w="1419"/>
      </w:tblGrid>
      <w:tr w:rsidR="001503A1" w:rsidRPr="001503A1" w14:paraId="102D3999" w14:textId="77777777" w:rsidTr="00A571CE">
        <w:tc>
          <w:tcPr>
            <w:tcW w:w="864" w:type="pct"/>
            <w:vMerge w:val="restart"/>
            <w:vAlign w:val="center"/>
          </w:tcPr>
          <w:p w14:paraId="7B006504"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lastRenderedPageBreak/>
              <w:t>变量</w:t>
            </w:r>
          </w:p>
        </w:tc>
        <w:tc>
          <w:tcPr>
            <w:tcW w:w="1021" w:type="pct"/>
          </w:tcPr>
          <w:p w14:paraId="59303B85"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sz w:val="18"/>
                <w:szCs w:val="18"/>
              </w:rPr>
            </w:pPr>
            <w:r w:rsidRPr="001503A1">
              <w:rPr>
                <w:rFonts w:ascii="Times New Roman" w:eastAsia="宋体" w:hAnsi="Times New Roman" w:cs="Times New Roman"/>
                <w:color w:val="000000" w:themeColor="text1"/>
                <w:sz w:val="18"/>
                <w:szCs w:val="18"/>
              </w:rPr>
              <w:t>排除社保基金持股</w:t>
            </w:r>
            <w:r w:rsidRPr="001503A1">
              <w:rPr>
                <w:rFonts w:ascii="Times New Roman" w:eastAsia="宋体" w:hAnsi="Times New Roman" w:cs="Times New Roman" w:hint="eastAsia"/>
                <w:color w:val="000000" w:themeColor="text1"/>
                <w:sz w:val="18"/>
                <w:szCs w:val="18"/>
              </w:rPr>
              <w:t>的影响</w:t>
            </w:r>
          </w:p>
        </w:tc>
        <w:tc>
          <w:tcPr>
            <w:tcW w:w="1256" w:type="pct"/>
          </w:tcPr>
          <w:p w14:paraId="2A683AE7"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sz w:val="18"/>
                <w:szCs w:val="18"/>
              </w:rPr>
            </w:pPr>
            <w:r w:rsidRPr="001503A1">
              <w:rPr>
                <w:rFonts w:ascii="Times New Roman" w:eastAsia="宋体" w:hAnsi="Times New Roman" w:cs="Times New Roman"/>
                <w:color w:val="000000" w:themeColor="text1"/>
                <w:sz w:val="18"/>
                <w:szCs w:val="18"/>
              </w:rPr>
              <w:t>排除经营投资问责政策</w:t>
            </w:r>
            <w:r w:rsidRPr="001503A1">
              <w:rPr>
                <w:rFonts w:ascii="Times New Roman" w:eastAsia="宋体" w:hAnsi="Times New Roman" w:cs="Times New Roman" w:hint="eastAsia"/>
                <w:color w:val="000000" w:themeColor="text1"/>
                <w:sz w:val="18"/>
                <w:szCs w:val="18"/>
              </w:rPr>
              <w:t>的影响</w:t>
            </w:r>
          </w:p>
        </w:tc>
        <w:tc>
          <w:tcPr>
            <w:tcW w:w="1005" w:type="pct"/>
          </w:tcPr>
          <w:p w14:paraId="7BA884BC"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sz w:val="18"/>
                <w:szCs w:val="18"/>
              </w:rPr>
            </w:pPr>
            <w:r w:rsidRPr="001503A1">
              <w:rPr>
                <w:rFonts w:ascii="Times New Roman" w:eastAsia="宋体" w:hAnsi="Times New Roman" w:cs="Times New Roman"/>
                <w:color w:val="000000" w:themeColor="text1"/>
                <w:sz w:val="18"/>
                <w:szCs w:val="18"/>
              </w:rPr>
              <w:t>排除薪酬监管政策</w:t>
            </w:r>
            <w:r w:rsidRPr="001503A1">
              <w:rPr>
                <w:rFonts w:ascii="Times New Roman" w:eastAsia="宋体" w:hAnsi="Times New Roman" w:cs="Times New Roman" w:hint="eastAsia"/>
                <w:color w:val="000000" w:themeColor="text1"/>
                <w:sz w:val="18"/>
                <w:szCs w:val="18"/>
              </w:rPr>
              <w:t>的影响</w:t>
            </w:r>
          </w:p>
        </w:tc>
        <w:tc>
          <w:tcPr>
            <w:tcW w:w="854" w:type="pct"/>
          </w:tcPr>
          <w:p w14:paraId="0AF911D1"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sz w:val="18"/>
                <w:szCs w:val="18"/>
              </w:rPr>
            </w:pPr>
            <w:r w:rsidRPr="001503A1">
              <w:rPr>
                <w:rFonts w:ascii="Times New Roman" w:eastAsia="宋体" w:hAnsi="Times New Roman" w:cs="Times New Roman"/>
                <w:color w:val="000000" w:themeColor="text1"/>
                <w:sz w:val="18"/>
                <w:szCs w:val="18"/>
              </w:rPr>
              <w:t>排除</w:t>
            </w:r>
            <w:r w:rsidRPr="001503A1">
              <w:rPr>
                <w:rFonts w:ascii="Times New Roman" w:eastAsia="宋体" w:hAnsi="Times New Roman" w:cs="Times New Roman" w:hint="eastAsia"/>
                <w:color w:val="000000" w:themeColor="text1"/>
                <w:sz w:val="18"/>
                <w:szCs w:val="18"/>
              </w:rPr>
              <w:t>三类</w:t>
            </w:r>
            <w:r w:rsidRPr="001503A1">
              <w:rPr>
                <w:rFonts w:ascii="Times New Roman" w:eastAsia="宋体" w:hAnsi="Times New Roman" w:cs="Times New Roman"/>
                <w:color w:val="000000" w:themeColor="text1"/>
                <w:sz w:val="18"/>
                <w:szCs w:val="18"/>
              </w:rPr>
              <w:t>政策</w:t>
            </w:r>
            <w:r w:rsidRPr="001503A1">
              <w:rPr>
                <w:rFonts w:ascii="Times New Roman" w:eastAsia="宋体" w:hAnsi="Times New Roman" w:cs="Times New Roman" w:hint="eastAsia"/>
                <w:color w:val="000000" w:themeColor="text1"/>
                <w:sz w:val="18"/>
                <w:szCs w:val="18"/>
              </w:rPr>
              <w:t>的影响</w:t>
            </w:r>
          </w:p>
        </w:tc>
      </w:tr>
      <w:tr w:rsidR="001503A1" w:rsidRPr="001503A1" w14:paraId="647BB321" w14:textId="77777777" w:rsidTr="00A571CE">
        <w:tc>
          <w:tcPr>
            <w:tcW w:w="864" w:type="pct"/>
            <w:vMerge/>
            <w:vAlign w:val="center"/>
          </w:tcPr>
          <w:p w14:paraId="32075EAD"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kern w:val="0"/>
                <w:sz w:val="18"/>
                <w:szCs w:val="18"/>
              </w:rPr>
            </w:pPr>
          </w:p>
        </w:tc>
        <w:tc>
          <w:tcPr>
            <w:tcW w:w="1021" w:type="pct"/>
          </w:tcPr>
          <w:p w14:paraId="5FC7E03F"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(1)</w:t>
            </w:r>
          </w:p>
        </w:tc>
        <w:tc>
          <w:tcPr>
            <w:tcW w:w="1256" w:type="pct"/>
          </w:tcPr>
          <w:p w14:paraId="11F2C315"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(2)</w:t>
            </w:r>
          </w:p>
        </w:tc>
        <w:tc>
          <w:tcPr>
            <w:tcW w:w="1005" w:type="pct"/>
          </w:tcPr>
          <w:p w14:paraId="2932A937"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(3)</w:t>
            </w:r>
          </w:p>
        </w:tc>
        <w:tc>
          <w:tcPr>
            <w:tcW w:w="854" w:type="pct"/>
          </w:tcPr>
          <w:p w14:paraId="17925962"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(4)</w:t>
            </w:r>
          </w:p>
        </w:tc>
      </w:tr>
      <w:tr w:rsidR="001503A1" w:rsidRPr="001503A1" w14:paraId="5BCF0835" w14:textId="77777777" w:rsidTr="00A571CE">
        <w:tc>
          <w:tcPr>
            <w:tcW w:w="864" w:type="pct"/>
            <w:vMerge/>
            <w:tcBorders>
              <w:bottom w:val="single" w:sz="4" w:space="0" w:color="auto"/>
            </w:tcBorders>
          </w:tcPr>
          <w:p w14:paraId="7893F178" w14:textId="77777777" w:rsidR="00894251" w:rsidRPr="001503A1" w:rsidRDefault="00894251" w:rsidP="00894251">
            <w:pPr>
              <w:autoSpaceDE w:val="0"/>
              <w:autoSpaceDN w:val="0"/>
              <w:adjustRightInd w:val="0"/>
              <w:jc w:val="center"/>
              <w:rPr>
                <w:rFonts w:ascii="Times New Roman" w:eastAsia="宋体" w:hAnsi="Times New Roman" w:cs="Times New Roman"/>
                <w:color w:val="000000" w:themeColor="text1"/>
                <w:kern w:val="0"/>
                <w:sz w:val="18"/>
                <w:szCs w:val="18"/>
              </w:rPr>
            </w:pPr>
          </w:p>
        </w:tc>
        <w:tc>
          <w:tcPr>
            <w:tcW w:w="1021" w:type="pct"/>
            <w:tcBorders>
              <w:bottom w:val="single" w:sz="4" w:space="0" w:color="auto"/>
            </w:tcBorders>
          </w:tcPr>
          <w:p w14:paraId="5EA38BCB" w14:textId="77777777" w:rsidR="00894251" w:rsidRPr="001503A1" w:rsidRDefault="00894251" w:rsidP="00894251">
            <w:pPr>
              <w:autoSpaceDE w:val="0"/>
              <w:autoSpaceDN w:val="0"/>
              <w:adjustRightInd w:val="0"/>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1256" w:type="pct"/>
            <w:tcBorders>
              <w:bottom w:val="single" w:sz="4" w:space="0" w:color="auto"/>
            </w:tcBorders>
          </w:tcPr>
          <w:p w14:paraId="4336C6AF" w14:textId="77777777" w:rsidR="00894251" w:rsidRPr="001503A1" w:rsidRDefault="00894251" w:rsidP="00894251">
            <w:pPr>
              <w:autoSpaceDE w:val="0"/>
              <w:autoSpaceDN w:val="0"/>
              <w:adjustRightInd w:val="0"/>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1005" w:type="pct"/>
            <w:tcBorders>
              <w:bottom w:val="single" w:sz="4" w:space="0" w:color="auto"/>
            </w:tcBorders>
          </w:tcPr>
          <w:p w14:paraId="2770FC8B" w14:textId="77777777" w:rsidR="00894251" w:rsidRPr="001503A1" w:rsidRDefault="00894251" w:rsidP="00894251">
            <w:pPr>
              <w:autoSpaceDE w:val="0"/>
              <w:autoSpaceDN w:val="0"/>
              <w:adjustRightInd w:val="0"/>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854" w:type="pct"/>
            <w:tcBorders>
              <w:bottom w:val="single" w:sz="4" w:space="0" w:color="auto"/>
            </w:tcBorders>
          </w:tcPr>
          <w:p w14:paraId="34953996" w14:textId="77777777" w:rsidR="00894251" w:rsidRPr="001503A1" w:rsidRDefault="00894251" w:rsidP="00894251">
            <w:pPr>
              <w:autoSpaceDE w:val="0"/>
              <w:autoSpaceDN w:val="0"/>
              <w:adjustRightInd w:val="0"/>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r>
      <w:tr w:rsidR="001503A1" w:rsidRPr="001503A1" w14:paraId="27D8291F" w14:textId="77777777" w:rsidTr="00A571CE">
        <w:tc>
          <w:tcPr>
            <w:tcW w:w="864" w:type="pct"/>
            <w:tcBorders>
              <w:bottom w:val="nil"/>
            </w:tcBorders>
          </w:tcPr>
          <w:p w14:paraId="307AB57E" w14:textId="77777777" w:rsidR="00894251" w:rsidRPr="001503A1" w:rsidRDefault="00894251" w:rsidP="00894251">
            <w:pPr>
              <w:autoSpaceDE w:val="0"/>
              <w:autoSpaceDN w:val="0"/>
              <w:adjustRightInd w:val="0"/>
              <w:jc w:val="center"/>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Transfer</w:t>
            </w:r>
          </w:p>
        </w:tc>
        <w:tc>
          <w:tcPr>
            <w:tcW w:w="1021" w:type="pct"/>
            <w:tcBorders>
              <w:bottom w:val="nil"/>
            </w:tcBorders>
          </w:tcPr>
          <w:p w14:paraId="6E916D40"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-0.0052</w:t>
            </w:r>
            <w:r w:rsidRPr="001503A1">
              <w:rPr>
                <w:rFonts w:ascii="Times New Roman" w:eastAsia="楷体" w:hAnsi="Times New Roman" w:cs="Times New Roman"/>
                <w:color w:val="000000" w:themeColor="text1"/>
                <w:kern w:val="0"/>
                <w:sz w:val="18"/>
                <w:szCs w:val="18"/>
                <w:vertAlign w:val="superscript"/>
              </w:rPr>
              <w:t>***</w:t>
            </w:r>
          </w:p>
        </w:tc>
        <w:tc>
          <w:tcPr>
            <w:tcW w:w="1256" w:type="pct"/>
            <w:tcBorders>
              <w:bottom w:val="nil"/>
            </w:tcBorders>
          </w:tcPr>
          <w:p w14:paraId="5C191F38"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-0.0051</w:t>
            </w:r>
            <w:r w:rsidRPr="001503A1">
              <w:rPr>
                <w:rFonts w:ascii="Times New Roman" w:eastAsia="楷体" w:hAnsi="Times New Roman" w:cs="Times New Roman"/>
                <w:color w:val="000000" w:themeColor="text1"/>
                <w:kern w:val="0"/>
                <w:sz w:val="18"/>
                <w:szCs w:val="18"/>
                <w:vertAlign w:val="superscript"/>
              </w:rPr>
              <w:t>***</w:t>
            </w:r>
          </w:p>
        </w:tc>
        <w:tc>
          <w:tcPr>
            <w:tcW w:w="1005" w:type="pct"/>
            <w:tcBorders>
              <w:bottom w:val="nil"/>
            </w:tcBorders>
          </w:tcPr>
          <w:p w14:paraId="4ACF81A2"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-0.0051</w:t>
            </w:r>
            <w:r w:rsidRPr="001503A1">
              <w:rPr>
                <w:rFonts w:ascii="Times New Roman" w:eastAsia="楷体" w:hAnsi="Times New Roman" w:cs="Times New Roman"/>
                <w:color w:val="000000" w:themeColor="text1"/>
                <w:kern w:val="0"/>
                <w:sz w:val="18"/>
                <w:szCs w:val="18"/>
                <w:vertAlign w:val="superscript"/>
              </w:rPr>
              <w:t>***</w:t>
            </w:r>
          </w:p>
        </w:tc>
        <w:tc>
          <w:tcPr>
            <w:tcW w:w="854" w:type="pct"/>
            <w:tcBorders>
              <w:bottom w:val="nil"/>
            </w:tcBorders>
          </w:tcPr>
          <w:p w14:paraId="15ACF8F9"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-0.0050</w:t>
            </w:r>
            <w:r w:rsidRPr="001503A1">
              <w:rPr>
                <w:rFonts w:ascii="Times New Roman" w:eastAsia="楷体" w:hAnsi="Times New Roman" w:cs="Times New Roman"/>
                <w:color w:val="000000" w:themeColor="text1"/>
                <w:kern w:val="0"/>
                <w:sz w:val="18"/>
                <w:szCs w:val="18"/>
                <w:vertAlign w:val="superscript"/>
              </w:rPr>
              <w:t>***</w:t>
            </w:r>
          </w:p>
        </w:tc>
      </w:tr>
      <w:tr w:rsidR="001503A1" w:rsidRPr="001503A1" w14:paraId="3C11EDA4" w14:textId="77777777" w:rsidTr="00A571CE">
        <w:tc>
          <w:tcPr>
            <w:tcW w:w="864" w:type="pct"/>
            <w:tcBorders>
              <w:top w:val="nil"/>
              <w:bottom w:val="nil"/>
            </w:tcBorders>
          </w:tcPr>
          <w:p w14:paraId="2AAE5ABD"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p>
        </w:tc>
        <w:tc>
          <w:tcPr>
            <w:tcW w:w="1021" w:type="pct"/>
            <w:tcBorders>
              <w:top w:val="nil"/>
              <w:bottom w:val="nil"/>
            </w:tcBorders>
          </w:tcPr>
          <w:p w14:paraId="7DDBBB48"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(0.0018)</w:t>
            </w:r>
          </w:p>
        </w:tc>
        <w:tc>
          <w:tcPr>
            <w:tcW w:w="1256" w:type="pct"/>
            <w:tcBorders>
              <w:top w:val="nil"/>
              <w:bottom w:val="nil"/>
            </w:tcBorders>
          </w:tcPr>
          <w:p w14:paraId="71ACA2F4"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(0.0018)</w:t>
            </w:r>
          </w:p>
        </w:tc>
        <w:tc>
          <w:tcPr>
            <w:tcW w:w="1005" w:type="pct"/>
            <w:tcBorders>
              <w:top w:val="nil"/>
              <w:bottom w:val="nil"/>
            </w:tcBorders>
          </w:tcPr>
          <w:p w14:paraId="06F456C4"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(0.0017)</w:t>
            </w:r>
          </w:p>
        </w:tc>
        <w:tc>
          <w:tcPr>
            <w:tcW w:w="854" w:type="pct"/>
            <w:tcBorders>
              <w:top w:val="nil"/>
              <w:bottom w:val="nil"/>
            </w:tcBorders>
          </w:tcPr>
          <w:p w14:paraId="66B154DF"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(0.0017)</w:t>
            </w:r>
          </w:p>
        </w:tc>
      </w:tr>
      <w:tr w:rsidR="001503A1" w:rsidRPr="001503A1" w14:paraId="1ED5111E" w14:textId="77777777" w:rsidTr="00A571CE">
        <w:tc>
          <w:tcPr>
            <w:tcW w:w="864" w:type="pct"/>
            <w:tcBorders>
              <w:top w:val="nil"/>
              <w:bottom w:val="nil"/>
            </w:tcBorders>
            <w:vAlign w:val="center"/>
          </w:tcPr>
          <w:p w14:paraId="16D6855F"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控制变量</w:t>
            </w:r>
          </w:p>
        </w:tc>
        <w:tc>
          <w:tcPr>
            <w:tcW w:w="1021" w:type="pct"/>
            <w:tcBorders>
              <w:top w:val="nil"/>
              <w:bottom w:val="nil"/>
            </w:tcBorders>
          </w:tcPr>
          <w:p w14:paraId="3EC74A5B"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1256" w:type="pct"/>
            <w:tcBorders>
              <w:top w:val="nil"/>
              <w:bottom w:val="nil"/>
            </w:tcBorders>
          </w:tcPr>
          <w:p w14:paraId="7E7C4B6A"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1005" w:type="pct"/>
            <w:tcBorders>
              <w:top w:val="nil"/>
              <w:bottom w:val="nil"/>
            </w:tcBorders>
          </w:tcPr>
          <w:p w14:paraId="016610DB"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854" w:type="pct"/>
            <w:tcBorders>
              <w:top w:val="nil"/>
              <w:bottom w:val="nil"/>
            </w:tcBorders>
          </w:tcPr>
          <w:p w14:paraId="43A1520A"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32E1361C" w14:textId="77777777" w:rsidTr="00A571CE">
        <w:tc>
          <w:tcPr>
            <w:tcW w:w="864" w:type="pct"/>
            <w:tcBorders>
              <w:top w:val="nil"/>
              <w:bottom w:val="single" w:sz="4" w:space="0" w:color="auto"/>
            </w:tcBorders>
            <w:vAlign w:val="center"/>
          </w:tcPr>
          <w:p w14:paraId="6EFE75C6"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个体、</w:t>
            </w:r>
            <w:r w:rsidRPr="001503A1">
              <w:rPr>
                <w:rFonts w:ascii="Times New Roman" w:eastAsia="楷体" w:hAnsi="Times New Roman" w:cs="Times New Roman"/>
                <w:color w:val="000000" w:themeColor="text1"/>
                <w:kern w:val="0"/>
                <w:sz w:val="18"/>
                <w:szCs w:val="18"/>
              </w:rPr>
              <w:t>时间效应</w:t>
            </w:r>
          </w:p>
        </w:tc>
        <w:tc>
          <w:tcPr>
            <w:tcW w:w="1021" w:type="pct"/>
            <w:tcBorders>
              <w:top w:val="nil"/>
              <w:bottom w:val="single" w:sz="4" w:space="0" w:color="auto"/>
            </w:tcBorders>
          </w:tcPr>
          <w:p w14:paraId="32F930E1"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1256" w:type="pct"/>
            <w:tcBorders>
              <w:top w:val="nil"/>
              <w:bottom w:val="single" w:sz="4" w:space="0" w:color="auto"/>
            </w:tcBorders>
          </w:tcPr>
          <w:p w14:paraId="1CD4FCA2"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1005" w:type="pct"/>
            <w:tcBorders>
              <w:top w:val="nil"/>
              <w:bottom w:val="single" w:sz="4" w:space="0" w:color="auto"/>
            </w:tcBorders>
          </w:tcPr>
          <w:p w14:paraId="31ECA4F9"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c>
          <w:tcPr>
            <w:tcW w:w="854" w:type="pct"/>
            <w:tcBorders>
              <w:top w:val="nil"/>
              <w:bottom w:val="single" w:sz="4" w:space="0" w:color="auto"/>
            </w:tcBorders>
          </w:tcPr>
          <w:p w14:paraId="5E81C14B"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控制</w:t>
            </w:r>
          </w:p>
        </w:tc>
      </w:tr>
      <w:tr w:rsidR="001503A1" w:rsidRPr="001503A1" w14:paraId="1F07AC75" w14:textId="77777777" w:rsidTr="00A571CE">
        <w:tc>
          <w:tcPr>
            <w:tcW w:w="864" w:type="pct"/>
            <w:tcBorders>
              <w:top w:val="single" w:sz="4" w:space="0" w:color="auto"/>
              <w:bottom w:val="nil"/>
            </w:tcBorders>
            <w:vAlign w:val="center"/>
          </w:tcPr>
          <w:p w14:paraId="04E59E2D"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观测值</w:t>
            </w:r>
          </w:p>
        </w:tc>
        <w:tc>
          <w:tcPr>
            <w:tcW w:w="1021" w:type="pct"/>
            <w:tcBorders>
              <w:top w:val="single" w:sz="4" w:space="0" w:color="auto"/>
              <w:bottom w:val="nil"/>
            </w:tcBorders>
          </w:tcPr>
          <w:p w14:paraId="77F1DB31"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1256" w:type="pct"/>
            <w:tcBorders>
              <w:top w:val="single" w:sz="4" w:space="0" w:color="auto"/>
              <w:bottom w:val="nil"/>
            </w:tcBorders>
          </w:tcPr>
          <w:p w14:paraId="1472E582"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1005" w:type="pct"/>
            <w:tcBorders>
              <w:top w:val="single" w:sz="4" w:space="0" w:color="auto"/>
              <w:bottom w:val="nil"/>
            </w:tcBorders>
          </w:tcPr>
          <w:p w14:paraId="16DB65B3"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10015</w:t>
            </w:r>
          </w:p>
        </w:tc>
        <w:tc>
          <w:tcPr>
            <w:tcW w:w="854" w:type="pct"/>
            <w:tcBorders>
              <w:top w:val="single" w:sz="4" w:space="0" w:color="auto"/>
              <w:bottom w:val="nil"/>
            </w:tcBorders>
          </w:tcPr>
          <w:p w14:paraId="79D943B7"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10015</w:t>
            </w:r>
          </w:p>
        </w:tc>
      </w:tr>
      <w:tr w:rsidR="00677B03" w:rsidRPr="001503A1" w14:paraId="5DC9A71A" w14:textId="77777777" w:rsidTr="00A571CE">
        <w:tc>
          <w:tcPr>
            <w:tcW w:w="864" w:type="pct"/>
            <w:tcBorders>
              <w:top w:val="nil"/>
            </w:tcBorders>
            <w:vAlign w:val="center"/>
          </w:tcPr>
          <w:p w14:paraId="046FCA6A"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Adj.R</w:t>
            </w:r>
            <w:r w:rsidRPr="001503A1">
              <w:rPr>
                <w:rFonts w:ascii="Times New Roman" w:eastAsia="楷体" w:hAnsi="Times New Roman" w:cs="Times New Roman"/>
                <w:color w:val="000000" w:themeColor="text1"/>
                <w:kern w:val="0"/>
                <w:sz w:val="18"/>
                <w:szCs w:val="18"/>
                <w:vertAlign w:val="superscript"/>
              </w:rPr>
              <w:t>2</w:t>
            </w:r>
          </w:p>
        </w:tc>
        <w:tc>
          <w:tcPr>
            <w:tcW w:w="1021" w:type="pct"/>
            <w:tcBorders>
              <w:top w:val="nil"/>
            </w:tcBorders>
          </w:tcPr>
          <w:p w14:paraId="4FB50A0A"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0.4219</w:t>
            </w:r>
          </w:p>
        </w:tc>
        <w:tc>
          <w:tcPr>
            <w:tcW w:w="1256" w:type="pct"/>
            <w:tcBorders>
              <w:top w:val="nil"/>
            </w:tcBorders>
          </w:tcPr>
          <w:p w14:paraId="6F4F110C"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0.4230</w:t>
            </w:r>
          </w:p>
        </w:tc>
        <w:tc>
          <w:tcPr>
            <w:tcW w:w="1005" w:type="pct"/>
            <w:tcBorders>
              <w:top w:val="nil"/>
            </w:tcBorders>
          </w:tcPr>
          <w:p w14:paraId="474DFD62"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0.4223</w:t>
            </w:r>
          </w:p>
        </w:tc>
        <w:tc>
          <w:tcPr>
            <w:tcW w:w="854" w:type="pct"/>
            <w:tcBorders>
              <w:top w:val="nil"/>
            </w:tcBorders>
          </w:tcPr>
          <w:p w14:paraId="15FE748B" w14:textId="77777777" w:rsidR="00894251" w:rsidRPr="001503A1" w:rsidRDefault="00894251" w:rsidP="00894251">
            <w:pPr>
              <w:autoSpaceDE w:val="0"/>
              <w:autoSpaceDN w:val="0"/>
              <w:adjustRightInd w:val="0"/>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0.4233</w:t>
            </w:r>
          </w:p>
        </w:tc>
      </w:tr>
    </w:tbl>
    <w:p w14:paraId="645EAEC9" w14:textId="77777777" w:rsidR="00795373" w:rsidRPr="001503A1" w:rsidRDefault="00795373">
      <w:pPr>
        <w:rPr>
          <w:rFonts w:hint="eastAsia"/>
          <w:color w:val="000000" w:themeColor="text1"/>
        </w:rPr>
      </w:pPr>
    </w:p>
    <w:p w14:paraId="1B93C1CA" w14:textId="157465E0" w:rsidR="006E53A9" w:rsidRPr="001503A1" w:rsidRDefault="00900311" w:rsidP="006E53A9">
      <w:pPr>
        <w:keepNext/>
        <w:keepLines/>
        <w:ind w:firstLineChars="200" w:firstLine="422"/>
        <w:contextualSpacing/>
        <w:outlineLvl w:val="1"/>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w:t>
      </w:r>
      <w:r w:rsidR="00FE2C08" w:rsidRPr="001503A1">
        <w:rPr>
          <w:rFonts w:ascii="Times New Roman" w:eastAsia="黑体" w:hAnsi="Times New Roman" w:cs="Times New Roman" w:hint="eastAsia"/>
          <w:b/>
          <w:bCs/>
          <w:color w:val="000000" w:themeColor="text1"/>
          <w:szCs w:val="21"/>
        </w:rPr>
        <w:t>录</w:t>
      </w:r>
      <w:r w:rsidR="00813817">
        <w:rPr>
          <w:rFonts w:ascii="Times New Roman" w:eastAsia="黑体" w:hAnsi="Times New Roman" w:cs="Times New Roman" w:hint="eastAsia"/>
          <w:b/>
          <w:bCs/>
          <w:color w:val="000000" w:themeColor="text1"/>
          <w:szCs w:val="21"/>
        </w:rPr>
        <w:t>4</w:t>
      </w:r>
      <w:r w:rsidRPr="001503A1">
        <w:rPr>
          <w:rFonts w:ascii="Times New Roman" w:eastAsia="黑体" w:hAnsi="Times New Roman" w:cs="Times New Roman" w:hint="eastAsia"/>
          <w:b/>
          <w:bCs/>
          <w:color w:val="000000" w:themeColor="text1"/>
          <w:szCs w:val="21"/>
        </w:rPr>
        <w:t>：</w:t>
      </w:r>
      <w:r w:rsidR="006E53A9" w:rsidRPr="001503A1">
        <w:rPr>
          <w:rFonts w:ascii="Times New Roman" w:eastAsia="黑体" w:hAnsi="Times New Roman" w:cs="Times New Roman" w:hint="eastAsia"/>
          <w:b/>
          <w:bCs/>
          <w:color w:val="000000" w:themeColor="text1"/>
          <w:szCs w:val="21"/>
        </w:rPr>
        <w:t>不同分位点下</w:t>
      </w:r>
      <w:r w:rsidR="00314777" w:rsidRPr="00314777">
        <w:rPr>
          <w:rFonts w:ascii="Times New Roman" w:eastAsia="黑体" w:hAnsi="Times New Roman" w:cs="Times New Roman" w:hint="eastAsia"/>
          <w:b/>
          <w:bCs/>
          <w:color w:val="000000" w:themeColor="text1"/>
          <w:szCs w:val="21"/>
        </w:rPr>
        <w:t>国有资本划转</w:t>
      </w:r>
      <w:r w:rsidR="006E53A9" w:rsidRPr="001503A1">
        <w:rPr>
          <w:rFonts w:ascii="Times New Roman" w:eastAsia="黑体" w:hAnsi="Times New Roman" w:cs="Times New Roman" w:hint="eastAsia"/>
          <w:b/>
          <w:bCs/>
          <w:color w:val="000000" w:themeColor="text1"/>
          <w:szCs w:val="21"/>
        </w:rPr>
        <w:t>对企业风险承担的影响</w:t>
      </w:r>
    </w:p>
    <w:p w14:paraId="7FC268F4" w14:textId="3276A6DD" w:rsidR="00F33265" w:rsidRPr="001503A1" w:rsidRDefault="00646DF9" w:rsidP="00F33265">
      <w:pPr>
        <w:spacing w:line="288" w:lineRule="auto"/>
        <w:ind w:firstLineChars="200" w:firstLine="420"/>
        <w:contextualSpacing/>
        <w:rPr>
          <w:rFonts w:hint="eastAsia"/>
          <w:color w:val="000000" w:themeColor="text1"/>
        </w:rPr>
      </w:pPr>
      <w:r w:rsidRPr="00646DF9">
        <w:rPr>
          <w:rFonts w:ascii="Times New Roman" w:eastAsia="宋体" w:hAnsi="Times New Roman" w:cs="Times New Roman" w:hint="eastAsia"/>
          <w:color w:val="000000" w:themeColor="text1"/>
          <w14:ligatures w14:val="none"/>
        </w:rPr>
        <w:t>为考察国有资本划转政策对不同分位点国有企业风险承担水平的异质性影响，本文采用面板分位数回归模型，检验国有资本划转政策在不同风险承担水平国有企业中的政策效果。</w:t>
      </w:r>
      <w:r w:rsidR="00F33265" w:rsidRPr="001503A1">
        <w:rPr>
          <w:rFonts w:ascii="Times New Roman" w:eastAsia="宋体" w:hAnsi="Times New Roman" w:cs="Times New Roman"/>
          <w:color w:val="000000" w:themeColor="text1"/>
          <w14:ligatures w14:val="none"/>
        </w:rPr>
        <w:t>具体构建如下面板分位数回归模型：</w:t>
      </w:r>
    </w:p>
    <w:p w14:paraId="60415745" w14:textId="39616947" w:rsidR="00F33265" w:rsidRPr="001503A1" w:rsidRDefault="00000000" w:rsidP="00F33265">
      <w:pPr>
        <w:spacing w:line="288" w:lineRule="auto"/>
        <w:ind w:firstLineChars="200" w:firstLine="420"/>
        <w:contextualSpacing/>
        <w:jc w:val="right"/>
        <w:rPr>
          <w:rFonts w:ascii="Times New Roman" w:eastAsia="宋体" w:hAnsi="Times New Roman" w:cs="Times New Roman"/>
          <w:color w:val="000000" w:themeColor="text1"/>
          <w14:ligatures w14:val="none"/>
        </w:rPr>
      </w:pPr>
      <m:oMath>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Q</m:t>
            </m:r>
          </m:e>
          <m:sub>
            <m:r>
              <w:rPr>
                <w:rFonts w:ascii="Cambria Math" w:eastAsia="宋体" w:hAnsi="Cambria Math" w:cs="Times New Roman"/>
                <w:color w:val="000000" w:themeColor="text1"/>
                <w14:ligatures w14:val="none"/>
              </w:rPr>
              <m:t>q</m:t>
            </m:r>
          </m:sub>
        </m:sSub>
        <m:d>
          <m:dPr>
            <m:ctrlPr>
              <w:rPr>
                <w:rFonts w:ascii="Cambria Math" w:eastAsia="宋体" w:hAnsi="Cambria Math" w:cs="Times New Roman"/>
                <w:i/>
                <w:color w:val="000000" w:themeColor="text1"/>
                <w14:ligatures w14:val="none"/>
              </w:rPr>
            </m:ctrlPr>
          </m:dPr>
          <m:e>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Risk</m:t>
                </m:r>
              </m:e>
              <m:sub>
                <m:r>
                  <w:rPr>
                    <w:rFonts w:ascii="Cambria Math" w:eastAsia="宋体" w:hAnsi="Cambria Math" w:cs="Times New Roman"/>
                    <w:color w:val="000000" w:themeColor="text1"/>
                    <w14:ligatures w14:val="none"/>
                  </w:rPr>
                  <m:t>it</m:t>
                </m:r>
              </m:sub>
            </m:sSub>
          </m:e>
          <m:e>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Transfer</m:t>
                </m:r>
              </m:e>
              <m:sub>
                <m:r>
                  <w:rPr>
                    <w:rFonts w:ascii="Cambria Math" w:eastAsia="宋体" w:hAnsi="Cambria Math" w:cs="Times New Roman"/>
                    <w:color w:val="000000" w:themeColor="text1"/>
                    <w14:ligatures w14:val="none"/>
                  </w:rPr>
                  <m:t>it</m:t>
                </m:r>
              </m:sub>
            </m:sSub>
          </m:e>
        </m:d>
        <m:r>
          <w:rPr>
            <w:rFonts w:ascii="Cambria Math" w:eastAsia="宋体" w:hAnsi="Cambria Math" w:cs="Times New Roman"/>
            <w:color w:val="000000" w:themeColor="text1"/>
            <w14:ligatures w14:val="none"/>
          </w:rPr>
          <m:t>=</m:t>
        </m:r>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φ</m:t>
            </m:r>
          </m:e>
          <m:sub>
            <m:r>
              <w:rPr>
                <w:rFonts w:ascii="Cambria Math" w:eastAsia="宋体" w:hAnsi="Cambria Math" w:cs="Times New Roman"/>
                <w:color w:val="000000" w:themeColor="text1"/>
                <w14:ligatures w14:val="none"/>
              </w:rPr>
              <m:t>q0</m:t>
            </m:r>
          </m:sub>
        </m:sSub>
        <m:r>
          <w:rPr>
            <w:rFonts w:ascii="Cambria Math" w:eastAsia="宋体" w:hAnsi="Cambria Math" w:cs="Times New Roman"/>
            <w:color w:val="000000" w:themeColor="text1"/>
            <w14:ligatures w14:val="none"/>
          </w:rPr>
          <m:t>+</m:t>
        </m:r>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φ</m:t>
            </m:r>
          </m:e>
          <m:sub>
            <m:r>
              <w:rPr>
                <w:rFonts w:ascii="Cambria Math" w:eastAsia="宋体" w:hAnsi="Cambria Math" w:cs="Times New Roman"/>
                <w:color w:val="000000" w:themeColor="text1"/>
                <w14:ligatures w14:val="none"/>
              </w:rPr>
              <m:t>q1</m:t>
            </m:r>
          </m:sub>
        </m:sSub>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Transfer</m:t>
            </m:r>
          </m:e>
          <m:sub>
            <m:r>
              <w:rPr>
                <w:rFonts w:ascii="Cambria Math" w:eastAsia="宋体" w:hAnsi="Cambria Math" w:cs="Times New Roman"/>
                <w:color w:val="000000" w:themeColor="text1"/>
                <w14:ligatures w14:val="none"/>
              </w:rPr>
              <m:t>it</m:t>
            </m:r>
          </m:sub>
        </m:sSub>
        <m:r>
          <w:rPr>
            <w:rFonts w:ascii="Cambria Math" w:eastAsia="宋体" w:hAnsi="Cambria Math" w:cs="Times New Roman"/>
            <w:color w:val="000000" w:themeColor="text1"/>
            <w14:ligatures w14:val="none"/>
          </w:rPr>
          <m:t>+γ</m:t>
        </m:r>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X</m:t>
            </m:r>
          </m:e>
          <m:sub>
            <m:r>
              <w:rPr>
                <w:rFonts w:ascii="Cambria Math" w:eastAsia="宋体" w:hAnsi="Cambria Math" w:cs="Times New Roman"/>
                <w:color w:val="000000" w:themeColor="text1"/>
                <w14:ligatures w14:val="none"/>
              </w:rPr>
              <m:t>it</m:t>
            </m:r>
          </m:sub>
        </m:sSub>
        <m:r>
          <w:rPr>
            <w:rFonts w:ascii="Cambria Math" w:eastAsia="宋体" w:hAnsi="Cambria Math" w:cs="Times New Roman"/>
            <w:color w:val="000000" w:themeColor="text1"/>
            <w14:ligatures w14:val="none"/>
          </w:rPr>
          <m:t>+</m:t>
        </m:r>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μ</m:t>
            </m:r>
          </m:e>
          <m:sub>
            <m:r>
              <w:rPr>
                <w:rFonts w:ascii="Cambria Math" w:eastAsia="宋体" w:hAnsi="Cambria Math" w:cs="Times New Roman"/>
                <w:color w:val="000000" w:themeColor="text1"/>
                <w14:ligatures w14:val="none"/>
              </w:rPr>
              <m:t>i</m:t>
            </m:r>
          </m:sub>
        </m:sSub>
        <m:r>
          <w:rPr>
            <w:rFonts w:ascii="Cambria Math" w:eastAsia="宋体" w:hAnsi="Cambria Math" w:cs="Times New Roman"/>
            <w:color w:val="000000" w:themeColor="text1"/>
            <w14:ligatures w14:val="none"/>
          </w:rPr>
          <m:t>+</m:t>
        </m:r>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δ</m:t>
            </m:r>
          </m:e>
          <m:sub>
            <m:r>
              <w:rPr>
                <w:rFonts w:ascii="Cambria Math" w:eastAsia="宋体" w:hAnsi="Cambria Math" w:cs="Times New Roman"/>
                <w:color w:val="000000" w:themeColor="text1"/>
                <w14:ligatures w14:val="none"/>
              </w:rPr>
              <m:t>t</m:t>
            </m:r>
          </m:sub>
        </m:sSub>
        <m:r>
          <w:rPr>
            <w:rFonts w:ascii="Cambria Math" w:eastAsia="宋体" w:hAnsi="Cambria Math" w:cs="Times New Roman"/>
            <w:color w:val="000000" w:themeColor="text1"/>
            <w14:ligatures w14:val="none"/>
          </w:rPr>
          <m:t>+</m:t>
        </m:r>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ε</m:t>
            </m:r>
          </m:e>
          <m:sub>
            <m:r>
              <w:rPr>
                <w:rFonts w:ascii="Cambria Math" w:eastAsia="宋体" w:hAnsi="Cambria Math" w:cs="Times New Roman"/>
                <w:color w:val="000000" w:themeColor="text1"/>
                <w14:ligatures w14:val="none"/>
              </w:rPr>
              <m:t>it</m:t>
            </m:r>
          </m:sub>
        </m:sSub>
      </m:oMath>
      <w:r w:rsidR="00F33265" w:rsidRPr="001503A1">
        <w:rPr>
          <w:rFonts w:ascii="Times New Roman" w:eastAsia="宋体" w:hAnsi="Times New Roman" w:cs="Times New Roman"/>
          <w:color w:val="000000" w:themeColor="text1"/>
          <w14:ligatures w14:val="none"/>
        </w:rPr>
        <w:t xml:space="preserve">         (</w:t>
      </w:r>
      <w:r w:rsidR="004B394F" w:rsidRPr="001503A1">
        <w:rPr>
          <w:rFonts w:ascii="Times New Roman" w:eastAsia="宋体" w:hAnsi="Times New Roman" w:cs="Times New Roman"/>
          <w:color w:val="000000" w:themeColor="text1"/>
          <w14:ligatures w14:val="none"/>
        </w:rPr>
        <w:t>1</w:t>
      </w:r>
      <w:r w:rsidR="00F33265" w:rsidRPr="001503A1">
        <w:rPr>
          <w:rFonts w:ascii="Times New Roman" w:eastAsia="宋体" w:hAnsi="Times New Roman" w:cs="Times New Roman"/>
          <w:color w:val="000000" w:themeColor="text1"/>
          <w14:ligatures w14:val="none"/>
        </w:rPr>
        <w:t>)</w:t>
      </w:r>
    </w:p>
    <w:p w14:paraId="45BDCB02" w14:textId="2FFD5E57" w:rsidR="00F33265" w:rsidRPr="001503A1" w:rsidRDefault="00F33265" w:rsidP="00F33265">
      <w:pPr>
        <w:spacing w:line="288" w:lineRule="auto"/>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color w:val="000000" w:themeColor="text1"/>
          <w14:ligatures w14:val="none"/>
        </w:rPr>
        <w:t>其中，</w:t>
      </w:r>
      <m:oMath>
        <m:r>
          <w:rPr>
            <w:rFonts w:ascii="Cambria Math" w:eastAsia="宋体" w:hAnsi="Cambria Math" w:cs="Times New Roman"/>
            <w:color w:val="000000" w:themeColor="text1"/>
            <w14:ligatures w14:val="none"/>
          </w:rPr>
          <m:t>q</m:t>
        </m:r>
      </m:oMath>
      <w:r w:rsidRPr="001503A1">
        <w:rPr>
          <w:rFonts w:ascii="Times New Roman" w:eastAsia="宋体" w:hAnsi="Times New Roman" w:cs="Times New Roman"/>
          <w:color w:val="000000" w:themeColor="text1"/>
          <w14:ligatures w14:val="none"/>
        </w:rPr>
        <w:t>代表分位数符号；当给定国有资本划转政策冲击（</w:t>
      </w:r>
      <m:oMath>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Transfer</m:t>
            </m:r>
          </m:e>
          <m:sub>
            <m:r>
              <w:rPr>
                <w:rFonts w:ascii="Cambria Math" w:eastAsia="宋体" w:hAnsi="Cambria Math" w:cs="Times New Roman"/>
                <w:color w:val="000000" w:themeColor="text1"/>
                <w14:ligatures w14:val="none"/>
              </w:rPr>
              <m:t>it</m:t>
            </m:r>
          </m:sub>
        </m:sSub>
      </m:oMath>
      <w:r w:rsidRPr="001503A1">
        <w:rPr>
          <w:rFonts w:ascii="Times New Roman" w:eastAsia="宋体" w:hAnsi="Times New Roman" w:cs="Times New Roman"/>
          <w:color w:val="000000" w:themeColor="text1"/>
          <w14:ligatures w14:val="none"/>
        </w:rPr>
        <w:t>）时，</w:t>
      </w:r>
      <w:r w:rsidR="001708E7" w:rsidRPr="001503A1">
        <w:rPr>
          <w:rFonts w:ascii="Times New Roman" w:eastAsia="宋体" w:hAnsi="Times New Roman" w:cs="Times New Roman" w:hint="eastAsia"/>
          <w:color w:val="000000" w:themeColor="text1"/>
          <w14:ligatures w14:val="none"/>
        </w:rPr>
        <w:t>国有</w:t>
      </w:r>
      <w:r w:rsidRPr="001503A1">
        <w:rPr>
          <w:rFonts w:ascii="Times New Roman" w:eastAsia="宋体" w:hAnsi="Times New Roman" w:cs="Times New Roman"/>
          <w:color w:val="000000" w:themeColor="text1"/>
          <w14:ligatures w14:val="none"/>
        </w:rPr>
        <w:t>企业风险承担水平在第</w:t>
      </w:r>
      <m:oMath>
        <m:r>
          <w:rPr>
            <w:rFonts w:ascii="Cambria Math" w:eastAsia="宋体" w:hAnsi="Cambria Math" w:cs="Times New Roman"/>
            <w:color w:val="000000" w:themeColor="text1"/>
            <w14:ligatures w14:val="none"/>
          </w:rPr>
          <m:t>q</m:t>
        </m:r>
      </m:oMath>
      <w:r w:rsidRPr="001503A1">
        <w:rPr>
          <w:rFonts w:ascii="Times New Roman" w:eastAsia="宋体" w:hAnsi="Times New Roman" w:cs="Times New Roman"/>
          <w:color w:val="000000" w:themeColor="text1"/>
          <w14:ligatures w14:val="none"/>
        </w:rPr>
        <w:t>分位数上的数值以</w:t>
      </w:r>
      <m:oMath>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Q</m:t>
            </m:r>
          </m:e>
          <m:sub>
            <m:r>
              <w:rPr>
                <w:rFonts w:ascii="Cambria Math" w:eastAsia="宋体" w:hAnsi="Cambria Math" w:cs="Times New Roman"/>
                <w:color w:val="000000" w:themeColor="text1"/>
                <w14:ligatures w14:val="none"/>
              </w:rPr>
              <m:t>q</m:t>
            </m:r>
          </m:sub>
        </m:sSub>
        <m:d>
          <m:dPr>
            <m:ctrlPr>
              <w:rPr>
                <w:rFonts w:ascii="Cambria Math" w:eastAsia="宋体" w:hAnsi="Cambria Math" w:cs="Times New Roman"/>
                <w:i/>
                <w:color w:val="000000" w:themeColor="text1"/>
                <w14:ligatures w14:val="none"/>
              </w:rPr>
            </m:ctrlPr>
          </m:dPr>
          <m:e>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Risk</m:t>
                </m:r>
              </m:e>
              <m:sub>
                <m:r>
                  <w:rPr>
                    <w:rFonts w:ascii="Cambria Math" w:eastAsia="宋体" w:hAnsi="Cambria Math" w:cs="Times New Roman"/>
                    <w:color w:val="000000" w:themeColor="text1"/>
                    <w14:ligatures w14:val="none"/>
                  </w:rPr>
                  <m:t>it</m:t>
                </m:r>
              </m:sub>
            </m:sSub>
          </m:e>
          <m:e>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Transfer</m:t>
                </m:r>
              </m:e>
              <m:sub>
                <m:r>
                  <w:rPr>
                    <w:rFonts w:ascii="Cambria Math" w:eastAsia="宋体" w:hAnsi="Cambria Math" w:cs="Times New Roman"/>
                    <w:color w:val="000000" w:themeColor="text1"/>
                    <w14:ligatures w14:val="none"/>
                  </w:rPr>
                  <m:t>it</m:t>
                </m:r>
              </m:sub>
            </m:sSub>
          </m:e>
        </m:d>
      </m:oMath>
      <w:r w:rsidRPr="001503A1">
        <w:rPr>
          <w:rFonts w:ascii="Times New Roman" w:eastAsia="宋体" w:hAnsi="Times New Roman" w:cs="Times New Roman"/>
          <w:color w:val="000000" w:themeColor="text1"/>
          <w14:ligatures w14:val="none"/>
        </w:rPr>
        <w:t>表示；第</w:t>
      </w:r>
      <m:oMath>
        <m:r>
          <w:rPr>
            <w:rFonts w:ascii="Cambria Math" w:eastAsia="宋体" w:hAnsi="Cambria Math" w:cs="Times New Roman"/>
            <w:color w:val="000000" w:themeColor="text1"/>
            <w14:ligatures w14:val="none"/>
          </w:rPr>
          <m:t>q</m:t>
        </m:r>
      </m:oMath>
      <w:r w:rsidRPr="001503A1">
        <w:rPr>
          <w:rFonts w:ascii="Times New Roman" w:eastAsia="宋体" w:hAnsi="Times New Roman" w:cs="Times New Roman"/>
          <w:color w:val="000000" w:themeColor="text1"/>
          <w14:ligatures w14:val="none"/>
        </w:rPr>
        <w:t>分位数上模型中国有资本划转政策冲击（</w:t>
      </w:r>
      <m:oMath>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Transfer</m:t>
            </m:r>
          </m:e>
          <m:sub>
            <m:r>
              <w:rPr>
                <w:rFonts w:ascii="Cambria Math" w:eastAsia="宋体" w:hAnsi="Cambria Math" w:cs="Times New Roman"/>
                <w:color w:val="000000" w:themeColor="text1"/>
                <w14:ligatures w14:val="none"/>
              </w:rPr>
              <m:t>it</m:t>
            </m:r>
          </m:sub>
        </m:sSub>
      </m:oMath>
      <w:r w:rsidRPr="001503A1">
        <w:rPr>
          <w:rFonts w:ascii="Times New Roman" w:eastAsia="宋体" w:hAnsi="Times New Roman" w:cs="Times New Roman"/>
          <w:color w:val="000000" w:themeColor="text1"/>
          <w14:ligatures w14:val="none"/>
        </w:rPr>
        <w:t>）的回归系数以</w:t>
      </w:r>
      <m:oMath>
        <m:sSub>
          <m:sSubPr>
            <m:ctrlPr>
              <w:rPr>
                <w:rFonts w:ascii="Cambria Math" w:eastAsia="宋体" w:hAnsi="Cambria Math" w:cs="Times New Roman"/>
                <w:i/>
                <w:color w:val="000000" w:themeColor="text1"/>
                <w14:ligatures w14:val="none"/>
              </w:rPr>
            </m:ctrlPr>
          </m:sSubPr>
          <m:e>
            <m:r>
              <w:rPr>
                <w:rFonts w:ascii="Cambria Math" w:eastAsia="宋体" w:hAnsi="Cambria Math" w:cs="Times New Roman"/>
                <w:color w:val="000000" w:themeColor="text1"/>
                <w14:ligatures w14:val="none"/>
              </w:rPr>
              <m:t>φ</m:t>
            </m:r>
          </m:e>
          <m:sub>
            <m:r>
              <w:rPr>
                <w:rFonts w:ascii="Cambria Math" w:eastAsia="宋体" w:hAnsi="Cambria Math" w:cs="Times New Roman"/>
                <w:color w:val="000000" w:themeColor="text1"/>
                <w14:ligatures w14:val="none"/>
              </w:rPr>
              <m:t>q1</m:t>
            </m:r>
          </m:sub>
        </m:sSub>
      </m:oMath>
      <w:r w:rsidRPr="001503A1">
        <w:rPr>
          <w:rFonts w:ascii="Times New Roman" w:eastAsia="宋体" w:hAnsi="Times New Roman" w:cs="Times New Roman"/>
          <w:color w:val="000000" w:themeColor="text1"/>
          <w14:ligatures w14:val="none"/>
        </w:rPr>
        <w:t>表示。在此，我们借鉴已有研究的经典做法，选取五个具有代表性的分位点（</w:t>
      </w:r>
      <w:r w:rsidRPr="001503A1">
        <w:rPr>
          <w:rFonts w:ascii="Times New Roman" w:eastAsia="宋体" w:hAnsi="Times New Roman" w:cs="Times New Roman"/>
          <w:color w:val="000000" w:themeColor="text1"/>
          <w14:ligatures w14:val="none"/>
        </w:rPr>
        <w:t>0.</w:t>
      </w:r>
      <w:r w:rsidRPr="001503A1">
        <w:rPr>
          <w:rFonts w:ascii="Times New Roman" w:eastAsia="宋体" w:hAnsi="Times New Roman" w:cs="Times New Roman" w:hint="eastAsia"/>
          <w:color w:val="000000" w:themeColor="text1"/>
          <w14:ligatures w14:val="none"/>
        </w:rPr>
        <w:t>05</w:t>
      </w:r>
      <w:r w:rsidRPr="001503A1">
        <w:rPr>
          <w:rFonts w:ascii="Times New Roman" w:eastAsia="宋体" w:hAnsi="Times New Roman" w:cs="Times New Roman"/>
          <w:color w:val="000000" w:themeColor="text1"/>
          <w14:ligatures w14:val="none"/>
        </w:rPr>
        <w:t>、</w:t>
      </w:r>
      <w:r w:rsidRPr="001503A1">
        <w:rPr>
          <w:rFonts w:ascii="Times New Roman" w:eastAsia="宋体" w:hAnsi="Times New Roman" w:cs="Times New Roman"/>
          <w:color w:val="000000" w:themeColor="text1"/>
          <w14:ligatures w14:val="none"/>
        </w:rPr>
        <w:t>0.</w:t>
      </w:r>
      <w:r w:rsidRPr="001503A1">
        <w:rPr>
          <w:rFonts w:ascii="Times New Roman" w:eastAsia="宋体" w:hAnsi="Times New Roman" w:cs="Times New Roman" w:hint="eastAsia"/>
          <w:color w:val="000000" w:themeColor="text1"/>
          <w14:ligatures w14:val="none"/>
        </w:rPr>
        <w:t>25</w:t>
      </w:r>
      <w:r w:rsidRPr="001503A1">
        <w:rPr>
          <w:rFonts w:ascii="Times New Roman" w:eastAsia="宋体" w:hAnsi="Times New Roman" w:cs="Times New Roman"/>
          <w:color w:val="000000" w:themeColor="text1"/>
          <w14:ligatures w14:val="none"/>
        </w:rPr>
        <w:t>、</w:t>
      </w:r>
      <w:r w:rsidRPr="001503A1">
        <w:rPr>
          <w:rFonts w:ascii="Times New Roman" w:eastAsia="宋体" w:hAnsi="Times New Roman" w:cs="Times New Roman"/>
          <w:color w:val="000000" w:themeColor="text1"/>
          <w14:ligatures w14:val="none"/>
        </w:rPr>
        <w:t>0.5</w:t>
      </w:r>
      <w:r w:rsidRPr="001503A1">
        <w:rPr>
          <w:rFonts w:ascii="Times New Roman" w:eastAsia="宋体" w:hAnsi="Times New Roman" w:cs="Times New Roman" w:hint="eastAsia"/>
          <w:color w:val="000000" w:themeColor="text1"/>
          <w14:ligatures w14:val="none"/>
        </w:rPr>
        <w:t>0</w:t>
      </w:r>
      <w:r w:rsidRPr="001503A1">
        <w:rPr>
          <w:rFonts w:ascii="Times New Roman" w:eastAsia="宋体" w:hAnsi="Times New Roman" w:cs="Times New Roman"/>
          <w:color w:val="000000" w:themeColor="text1"/>
          <w14:ligatures w14:val="none"/>
        </w:rPr>
        <w:t>、</w:t>
      </w:r>
      <w:r w:rsidRPr="001503A1">
        <w:rPr>
          <w:rFonts w:ascii="Times New Roman" w:eastAsia="宋体" w:hAnsi="Times New Roman" w:cs="Times New Roman"/>
          <w:color w:val="000000" w:themeColor="text1"/>
          <w14:ligatures w14:val="none"/>
        </w:rPr>
        <w:t>0.</w:t>
      </w:r>
      <w:r w:rsidRPr="001503A1">
        <w:rPr>
          <w:rFonts w:ascii="Times New Roman" w:eastAsia="宋体" w:hAnsi="Times New Roman" w:cs="Times New Roman" w:hint="eastAsia"/>
          <w:color w:val="000000" w:themeColor="text1"/>
          <w14:ligatures w14:val="none"/>
        </w:rPr>
        <w:t>75</w:t>
      </w:r>
      <w:r w:rsidRPr="001503A1">
        <w:rPr>
          <w:rFonts w:ascii="Times New Roman" w:eastAsia="宋体" w:hAnsi="Times New Roman" w:cs="Times New Roman"/>
          <w:color w:val="000000" w:themeColor="text1"/>
          <w14:ligatures w14:val="none"/>
        </w:rPr>
        <w:t>、</w:t>
      </w:r>
      <w:r w:rsidRPr="001503A1">
        <w:rPr>
          <w:rFonts w:ascii="Times New Roman" w:eastAsia="宋体" w:hAnsi="Times New Roman" w:cs="Times New Roman"/>
          <w:color w:val="000000" w:themeColor="text1"/>
          <w14:ligatures w14:val="none"/>
        </w:rPr>
        <w:t>0.9</w:t>
      </w:r>
      <w:r w:rsidRPr="001503A1">
        <w:rPr>
          <w:rFonts w:ascii="Times New Roman" w:eastAsia="宋体" w:hAnsi="Times New Roman" w:cs="Times New Roman" w:hint="eastAsia"/>
          <w:color w:val="000000" w:themeColor="text1"/>
          <w14:ligatures w14:val="none"/>
        </w:rPr>
        <w:t>0</w:t>
      </w:r>
      <w:r w:rsidRPr="001503A1">
        <w:rPr>
          <w:rFonts w:ascii="Times New Roman" w:eastAsia="宋体" w:hAnsi="Times New Roman" w:cs="Times New Roman"/>
          <w:color w:val="000000" w:themeColor="text1"/>
          <w14:ligatures w14:val="none"/>
        </w:rPr>
        <w:t>）对模型（</w:t>
      </w:r>
      <w:r w:rsidR="00677B03" w:rsidRPr="001503A1">
        <w:rPr>
          <w:rFonts w:ascii="Times New Roman" w:eastAsia="宋体" w:hAnsi="Times New Roman" w:cs="Times New Roman" w:hint="eastAsia"/>
          <w:color w:val="000000" w:themeColor="text1"/>
          <w14:ligatures w14:val="none"/>
        </w:rPr>
        <w:t>1</w:t>
      </w:r>
      <w:r w:rsidRPr="001503A1">
        <w:rPr>
          <w:rFonts w:ascii="Times New Roman" w:eastAsia="宋体" w:hAnsi="Times New Roman" w:cs="Times New Roman"/>
          <w:color w:val="000000" w:themeColor="text1"/>
          <w14:ligatures w14:val="none"/>
        </w:rPr>
        <w:t>）采用面板双向固定效应分位数方法进行回归。</w:t>
      </w:r>
      <w:r w:rsidRPr="001503A1">
        <w:rPr>
          <w:rFonts w:ascii="Times New Roman" w:eastAsia="宋体" w:hAnsi="Times New Roman" w:cs="Times New Roman" w:hint="eastAsia"/>
          <w:color w:val="000000" w:themeColor="text1"/>
          <w14:ligatures w14:val="none"/>
        </w:rPr>
        <w:t>附</w:t>
      </w:r>
      <w:r w:rsidRPr="001503A1">
        <w:rPr>
          <w:rFonts w:ascii="Times New Roman" w:eastAsia="宋体" w:hAnsi="Times New Roman" w:cs="Times New Roman"/>
          <w:color w:val="000000" w:themeColor="text1"/>
        </w:rPr>
        <w:t>表</w:t>
      </w:r>
      <w:r w:rsidR="006246BA" w:rsidRPr="001503A1">
        <w:rPr>
          <w:rFonts w:ascii="Times New Roman" w:eastAsia="宋体" w:hAnsi="Times New Roman" w:cs="Times New Roman" w:hint="eastAsia"/>
          <w:color w:val="000000" w:themeColor="text1"/>
        </w:rPr>
        <w:t>7</w:t>
      </w:r>
      <w:r w:rsidRPr="001503A1">
        <w:rPr>
          <w:rFonts w:ascii="Times New Roman" w:eastAsia="宋体" w:hAnsi="Times New Roman" w:cs="Times New Roman"/>
          <w:color w:val="000000" w:themeColor="text1"/>
        </w:rPr>
        <w:t>报告了分位数回归的检验结果。具体而言，从不同分位点上的估计系数来看，结果显示自</w:t>
      </w:r>
      <w:r w:rsidRPr="001503A1">
        <w:rPr>
          <w:rFonts w:ascii="Times New Roman" w:eastAsia="宋体" w:hAnsi="Times New Roman" w:cs="Times New Roman"/>
          <w:color w:val="000000" w:themeColor="text1"/>
        </w:rPr>
        <w:t>0.90</w:t>
      </w:r>
      <w:r w:rsidRPr="001503A1">
        <w:rPr>
          <w:rFonts w:ascii="Times New Roman" w:eastAsia="宋体" w:hAnsi="Times New Roman" w:cs="Times New Roman"/>
          <w:color w:val="000000" w:themeColor="text1"/>
        </w:rPr>
        <w:t>分位点之后，核心解释变量</w:t>
      </w:r>
      <w:r w:rsidRPr="001503A1">
        <w:rPr>
          <w:rFonts w:ascii="Times New Roman" w:eastAsia="宋体" w:hAnsi="Times New Roman" w:cs="Times New Roman"/>
          <w:i/>
          <w:iCs/>
          <w:color w:val="000000" w:themeColor="text1"/>
        </w:rPr>
        <w:t>Transfer</w:t>
      </w:r>
      <w:r w:rsidRPr="001503A1">
        <w:rPr>
          <w:rFonts w:ascii="Times New Roman" w:eastAsia="宋体" w:hAnsi="Times New Roman" w:cs="Times New Roman"/>
          <w:color w:val="000000" w:themeColor="text1"/>
        </w:rPr>
        <w:t>的估计系数显著为负，</w:t>
      </w:r>
      <w:r w:rsidRPr="001503A1">
        <w:rPr>
          <w:rFonts w:ascii="Times New Roman" w:eastAsia="宋体" w:hAnsi="Times New Roman" w:cs="Times New Roman" w:hint="eastAsia"/>
          <w:color w:val="000000" w:themeColor="text1"/>
        </w:rPr>
        <w:t>这表明</w:t>
      </w:r>
      <w:r w:rsidRPr="001503A1">
        <w:rPr>
          <w:rFonts w:ascii="Times New Roman" w:eastAsia="宋体" w:hAnsi="Times New Roman" w:cs="Times New Roman"/>
          <w:color w:val="000000" w:themeColor="text1"/>
        </w:rPr>
        <w:t>随着</w:t>
      </w:r>
      <w:r w:rsidR="001708E7" w:rsidRPr="001503A1">
        <w:rPr>
          <w:rFonts w:ascii="Times New Roman" w:eastAsia="宋体" w:hAnsi="Times New Roman" w:cs="Times New Roman" w:hint="eastAsia"/>
          <w:color w:val="000000" w:themeColor="text1"/>
        </w:rPr>
        <w:t>国有</w:t>
      </w:r>
      <w:r w:rsidRPr="001503A1">
        <w:rPr>
          <w:rFonts w:ascii="Times New Roman" w:eastAsia="宋体" w:hAnsi="Times New Roman" w:cs="Times New Roman"/>
          <w:color w:val="000000" w:themeColor="text1"/>
        </w:rPr>
        <w:t>企业风险承担水平的上升，国有资本划转对</w:t>
      </w:r>
      <w:r w:rsidR="00677B03" w:rsidRPr="001503A1">
        <w:rPr>
          <w:rFonts w:ascii="Times New Roman" w:eastAsia="宋体" w:hAnsi="Times New Roman" w:cs="Times New Roman" w:hint="eastAsia"/>
          <w:color w:val="000000" w:themeColor="text1"/>
        </w:rPr>
        <w:t>国有</w:t>
      </w:r>
      <w:r w:rsidRPr="001503A1">
        <w:rPr>
          <w:rFonts w:ascii="Times New Roman" w:eastAsia="宋体" w:hAnsi="Times New Roman" w:cs="Times New Roman" w:hint="eastAsia"/>
          <w:color w:val="000000" w:themeColor="text1"/>
        </w:rPr>
        <w:t>企业</w:t>
      </w:r>
      <w:r w:rsidRPr="001503A1">
        <w:rPr>
          <w:rFonts w:ascii="Times New Roman" w:eastAsia="宋体" w:hAnsi="Times New Roman" w:cs="Times New Roman"/>
          <w:color w:val="000000" w:themeColor="text1"/>
        </w:rPr>
        <w:t>风险承担水平的抑制作用更为凸显（</w:t>
      </w:r>
      <w:r w:rsidRPr="001503A1">
        <w:rPr>
          <w:rFonts w:ascii="Times New Roman" w:eastAsia="宋体" w:hAnsi="Times New Roman" w:cs="Times New Roman" w:hint="eastAsia"/>
          <w:color w:val="000000" w:themeColor="text1"/>
        </w:rPr>
        <w:t>附</w:t>
      </w:r>
      <w:r w:rsidRPr="001503A1">
        <w:rPr>
          <w:rFonts w:ascii="Times New Roman" w:eastAsia="宋体" w:hAnsi="Times New Roman" w:cs="Times New Roman"/>
          <w:color w:val="000000" w:themeColor="text1"/>
        </w:rPr>
        <w:t>图</w:t>
      </w:r>
      <w:r w:rsidRPr="001503A1">
        <w:rPr>
          <w:rFonts w:ascii="Times New Roman" w:eastAsia="宋体" w:hAnsi="Times New Roman" w:cs="Times New Roman" w:hint="eastAsia"/>
          <w:color w:val="000000" w:themeColor="text1"/>
        </w:rPr>
        <w:t>1</w:t>
      </w:r>
      <w:r w:rsidRPr="001503A1">
        <w:rPr>
          <w:rFonts w:ascii="Times New Roman" w:eastAsia="宋体" w:hAnsi="Times New Roman" w:cs="Times New Roman"/>
          <w:color w:val="000000" w:themeColor="text1"/>
        </w:rPr>
        <w:t>），即</w:t>
      </w:r>
      <w:r w:rsidRPr="001503A1">
        <w:rPr>
          <w:rFonts w:ascii="Times New Roman" w:eastAsia="宋体" w:hAnsi="Times New Roman" w:cs="Times New Roman" w:hint="eastAsia"/>
          <w:color w:val="000000" w:themeColor="text1"/>
        </w:rPr>
        <w:t>当对风险承担水平的国有企业赋予更高权重时，国有资本划转对</w:t>
      </w:r>
      <w:r w:rsidR="001708E7" w:rsidRPr="001503A1">
        <w:rPr>
          <w:rFonts w:ascii="Times New Roman" w:eastAsia="宋体" w:hAnsi="Times New Roman" w:cs="Times New Roman" w:hint="eastAsia"/>
          <w:color w:val="000000" w:themeColor="text1"/>
        </w:rPr>
        <w:t>国有企业</w:t>
      </w:r>
      <w:r w:rsidRPr="001503A1">
        <w:rPr>
          <w:rFonts w:ascii="Times New Roman" w:eastAsia="宋体" w:hAnsi="Times New Roman" w:cs="Times New Roman" w:hint="eastAsia"/>
          <w:color w:val="000000" w:themeColor="text1"/>
        </w:rPr>
        <w:t>风险承担的抑制效应</w:t>
      </w:r>
      <w:r w:rsidRPr="001503A1">
        <w:rPr>
          <w:rFonts w:ascii="Times New Roman" w:eastAsia="宋体" w:hAnsi="Times New Roman" w:cs="Times New Roman"/>
          <w:color w:val="000000" w:themeColor="text1"/>
        </w:rPr>
        <w:t>更为凸显。换言之，本文得出的结论具有稳健性。</w:t>
      </w:r>
    </w:p>
    <w:p w14:paraId="1D21D682" w14:textId="471B9C37" w:rsidR="00F33265" w:rsidRPr="001503A1" w:rsidRDefault="00F33265" w:rsidP="006E53A9">
      <w:pPr>
        <w:ind w:firstLineChars="200" w:firstLine="422"/>
        <w:contextualSpacing/>
        <w:jc w:val="left"/>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w:t>
      </w:r>
      <w:r w:rsidRPr="001503A1">
        <w:rPr>
          <w:rFonts w:ascii="Times New Roman" w:eastAsia="黑体" w:hAnsi="Times New Roman" w:cs="Times New Roman"/>
          <w:b/>
          <w:bCs/>
          <w:color w:val="000000" w:themeColor="text1"/>
          <w:szCs w:val="21"/>
        </w:rPr>
        <w:t>表</w:t>
      </w:r>
      <w:r w:rsidR="006246BA" w:rsidRPr="001503A1">
        <w:rPr>
          <w:rFonts w:ascii="Times New Roman" w:eastAsia="黑体" w:hAnsi="Times New Roman" w:cs="Times New Roman" w:hint="eastAsia"/>
          <w:b/>
          <w:bCs/>
          <w:color w:val="000000" w:themeColor="text1"/>
          <w:szCs w:val="21"/>
        </w:rPr>
        <w:t>7</w:t>
      </w:r>
      <w:r w:rsidRPr="001503A1">
        <w:rPr>
          <w:rFonts w:ascii="Times New Roman" w:eastAsia="黑体" w:hAnsi="Times New Roman" w:cs="Times New Roman"/>
          <w:b/>
          <w:bCs/>
          <w:color w:val="000000" w:themeColor="text1"/>
          <w:szCs w:val="21"/>
        </w:rPr>
        <w:t xml:space="preserve">  </w:t>
      </w:r>
      <w:r w:rsidR="006E53A9" w:rsidRPr="001503A1">
        <w:rPr>
          <w:rFonts w:ascii="Times New Roman" w:eastAsia="黑体" w:hAnsi="Times New Roman" w:cs="Times New Roman"/>
          <w:b/>
          <w:bCs/>
          <w:color w:val="000000" w:themeColor="text1"/>
          <w:szCs w:val="21"/>
        </w:rPr>
        <w:t xml:space="preserve">                             </w:t>
      </w:r>
      <w:r w:rsidRPr="001503A1">
        <w:rPr>
          <w:rFonts w:ascii="Times New Roman" w:eastAsia="黑体" w:hAnsi="Times New Roman" w:cs="Times New Roman"/>
          <w:b/>
          <w:bCs/>
          <w:color w:val="000000" w:themeColor="text1"/>
          <w:szCs w:val="21"/>
        </w:rPr>
        <w:t>分位数回归</w:t>
      </w:r>
      <w:r w:rsidR="009224C6" w:rsidRPr="001503A1">
        <w:rPr>
          <w:rFonts w:ascii="Times New Roman" w:eastAsia="黑体" w:hAnsi="Times New Roman" w:cs="Times New Roman" w:hint="eastAsia"/>
          <w:b/>
          <w:bCs/>
          <w:color w:val="000000" w:themeColor="text1"/>
          <w:szCs w:val="21"/>
        </w:rPr>
        <w:t>检验</w:t>
      </w:r>
      <w:r w:rsidR="001708E7" w:rsidRPr="001503A1">
        <w:rPr>
          <w:rFonts w:ascii="Times New Roman" w:eastAsia="黑体" w:hAnsi="Times New Roman" w:cs="Times New Roman" w:hint="eastAsia"/>
          <w:b/>
          <w:bCs/>
          <w:color w:val="000000" w:themeColor="text1"/>
          <w:szCs w:val="21"/>
        </w:rPr>
        <w:t>结果</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212"/>
        <w:gridCol w:w="1418"/>
        <w:gridCol w:w="1419"/>
        <w:gridCol w:w="1419"/>
        <w:gridCol w:w="1419"/>
        <w:gridCol w:w="1419"/>
      </w:tblGrid>
      <w:tr w:rsidR="001503A1" w:rsidRPr="001503A1" w14:paraId="45C0FBC2" w14:textId="77777777" w:rsidTr="00746B28">
        <w:tc>
          <w:tcPr>
            <w:tcW w:w="730" w:type="pct"/>
            <w:vMerge w:val="restart"/>
            <w:vAlign w:val="center"/>
          </w:tcPr>
          <w:p w14:paraId="362EF758"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变量</w:t>
            </w:r>
          </w:p>
        </w:tc>
        <w:tc>
          <w:tcPr>
            <w:tcW w:w="854" w:type="pct"/>
            <w:vAlign w:val="center"/>
          </w:tcPr>
          <w:p w14:paraId="42D3B4B3" w14:textId="77777777" w:rsidR="00F33265" w:rsidRPr="001503A1" w:rsidRDefault="00F33265" w:rsidP="00F33265">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q</w:t>
            </w:r>
            <w:r w:rsidRPr="001503A1">
              <w:rPr>
                <w:rFonts w:ascii="Times New Roman" w:eastAsia="宋体" w:hAnsi="Times New Roman" w:cs="Times New Roman"/>
                <w:color w:val="000000" w:themeColor="text1"/>
                <w:kern w:val="0"/>
                <w:sz w:val="18"/>
                <w:szCs w:val="18"/>
              </w:rPr>
              <w:t>=0.</w:t>
            </w:r>
            <w:r w:rsidRPr="001503A1">
              <w:rPr>
                <w:rFonts w:ascii="Times New Roman" w:eastAsia="宋体" w:hAnsi="Times New Roman" w:cs="Times New Roman" w:hint="eastAsia"/>
                <w:color w:val="000000" w:themeColor="text1"/>
                <w:kern w:val="0"/>
                <w:sz w:val="18"/>
                <w:szCs w:val="18"/>
              </w:rPr>
              <w:t>0</w:t>
            </w:r>
            <w:r w:rsidRPr="001503A1">
              <w:rPr>
                <w:rFonts w:ascii="Times New Roman" w:eastAsia="宋体" w:hAnsi="Times New Roman" w:cs="Times New Roman"/>
                <w:color w:val="000000" w:themeColor="text1"/>
                <w:kern w:val="0"/>
                <w:sz w:val="18"/>
                <w:szCs w:val="18"/>
              </w:rPr>
              <w:t>5</w:t>
            </w:r>
          </w:p>
        </w:tc>
        <w:tc>
          <w:tcPr>
            <w:tcW w:w="854" w:type="pct"/>
            <w:vAlign w:val="center"/>
          </w:tcPr>
          <w:p w14:paraId="4EC806AD"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q</w:t>
            </w:r>
            <w:r w:rsidRPr="001503A1">
              <w:rPr>
                <w:rFonts w:ascii="Times New Roman" w:eastAsia="宋体" w:hAnsi="Times New Roman" w:cs="Times New Roman"/>
                <w:color w:val="000000" w:themeColor="text1"/>
                <w:kern w:val="0"/>
                <w:sz w:val="18"/>
                <w:szCs w:val="18"/>
              </w:rPr>
              <w:t>=0.</w:t>
            </w:r>
            <w:r w:rsidRPr="001503A1">
              <w:rPr>
                <w:rFonts w:ascii="Times New Roman" w:eastAsia="宋体" w:hAnsi="Times New Roman" w:cs="Times New Roman" w:hint="eastAsia"/>
                <w:color w:val="000000" w:themeColor="text1"/>
                <w:kern w:val="0"/>
                <w:sz w:val="18"/>
                <w:szCs w:val="18"/>
              </w:rPr>
              <w:t>2</w:t>
            </w:r>
            <w:r w:rsidRPr="001503A1">
              <w:rPr>
                <w:rFonts w:ascii="Times New Roman" w:eastAsia="宋体" w:hAnsi="Times New Roman" w:cs="Times New Roman"/>
                <w:color w:val="000000" w:themeColor="text1"/>
                <w:kern w:val="0"/>
                <w:sz w:val="18"/>
                <w:szCs w:val="18"/>
              </w:rPr>
              <w:t>5</w:t>
            </w:r>
          </w:p>
        </w:tc>
        <w:tc>
          <w:tcPr>
            <w:tcW w:w="854" w:type="pct"/>
            <w:vAlign w:val="center"/>
          </w:tcPr>
          <w:p w14:paraId="6AB4F7E8"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q</w:t>
            </w:r>
            <w:r w:rsidRPr="001503A1">
              <w:rPr>
                <w:rFonts w:ascii="Times New Roman" w:eastAsia="宋体" w:hAnsi="Times New Roman" w:cs="Times New Roman"/>
                <w:color w:val="000000" w:themeColor="text1"/>
                <w:kern w:val="0"/>
                <w:sz w:val="18"/>
                <w:szCs w:val="18"/>
              </w:rPr>
              <w:t>=0.5</w:t>
            </w:r>
            <w:r w:rsidRPr="001503A1">
              <w:rPr>
                <w:rFonts w:ascii="Times New Roman" w:eastAsia="宋体" w:hAnsi="Times New Roman" w:cs="Times New Roman" w:hint="eastAsia"/>
                <w:color w:val="000000" w:themeColor="text1"/>
                <w:kern w:val="0"/>
                <w:sz w:val="18"/>
                <w:szCs w:val="18"/>
              </w:rPr>
              <w:t>0</w:t>
            </w:r>
          </w:p>
        </w:tc>
        <w:tc>
          <w:tcPr>
            <w:tcW w:w="854" w:type="pct"/>
            <w:vAlign w:val="center"/>
          </w:tcPr>
          <w:p w14:paraId="3B97700D"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q</w:t>
            </w:r>
            <w:r w:rsidRPr="001503A1">
              <w:rPr>
                <w:rFonts w:ascii="Times New Roman" w:eastAsia="宋体" w:hAnsi="Times New Roman" w:cs="Times New Roman"/>
                <w:color w:val="000000" w:themeColor="text1"/>
                <w:kern w:val="0"/>
                <w:sz w:val="18"/>
                <w:szCs w:val="18"/>
              </w:rPr>
              <w:t>=0.</w:t>
            </w:r>
            <w:r w:rsidRPr="001503A1">
              <w:rPr>
                <w:rFonts w:ascii="Times New Roman" w:eastAsia="宋体" w:hAnsi="Times New Roman" w:cs="Times New Roman" w:hint="eastAsia"/>
                <w:color w:val="000000" w:themeColor="text1"/>
                <w:kern w:val="0"/>
                <w:sz w:val="18"/>
                <w:szCs w:val="18"/>
              </w:rPr>
              <w:t>75</w:t>
            </w:r>
          </w:p>
        </w:tc>
        <w:tc>
          <w:tcPr>
            <w:tcW w:w="854" w:type="pct"/>
            <w:vAlign w:val="center"/>
          </w:tcPr>
          <w:p w14:paraId="3BB2645C"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q</w:t>
            </w:r>
            <w:r w:rsidRPr="001503A1">
              <w:rPr>
                <w:rFonts w:ascii="Times New Roman" w:eastAsia="宋体" w:hAnsi="Times New Roman" w:cs="Times New Roman"/>
                <w:color w:val="000000" w:themeColor="text1"/>
                <w:kern w:val="0"/>
                <w:sz w:val="18"/>
                <w:szCs w:val="18"/>
              </w:rPr>
              <w:t>=0.9</w:t>
            </w:r>
            <w:r w:rsidRPr="001503A1">
              <w:rPr>
                <w:rFonts w:ascii="Times New Roman" w:eastAsia="宋体" w:hAnsi="Times New Roman" w:cs="Times New Roman" w:hint="eastAsia"/>
                <w:color w:val="000000" w:themeColor="text1"/>
                <w:kern w:val="0"/>
                <w:sz w:val="18"/>
                <w:szCs w:val="18"/>
              </w:rPr>
              <w:t>0</w:t>
            </w:r>
          </w:p>
        </w:tc>
      </w:tr>
      <w:tr w:rsidR="001503A1" w:rsidRPr="001503A1" w14:paraId="133EAA4B" w14:textId="77777777" w:rsidTr="00746B28">
        <w:tc>
          <w:tcPr>
            <w:tcW w:w="730" w:type="pct"/>
            <w:vMerge/>
            <w:vAlign w:val="center"/>
          </w:tcPr>
          <w:p w14:paraId="17870F41"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p>
        </w:tc>
        <w:tc>
          <w:tcPr>
            <w:tcW w:w="854" w:type="pct"/>
            <w:vAlign w:val="center"/>
          </w:tcPr>
          <w:p w14:paraId="3360F8EC"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(1)</w:t>
            </w:r>
          </w:p>
        </w:tc>
        <w:tc>
          <w:tcPr>
            <w:tcW w:w="854" w:type="pct"/>
            <w:vAlign w:val="center"/>
          </w:tcPr>
          <w:p w14:paraId="2A3A3414"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(2)</w:t>
            </w:r>
          </w:p>
        </w:tc>
        <w:tc>
          <w:tcPr>
            <w:tcW w:w="854" w:type="pct"/>
            <w:vAlign w:val="center"/>
          </w:tcPr>
          <w:p w14:paraId="15EC9B8A"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(3)</w:t>
            </w:r>
          </w:p>
        </w:tc>
        <w:tc>
          <w:tcPr>
            <w:tcW w:w="854" w:type="pct"/>
            <w:vAlign w:val="center"/>
          </w:tcPr>
          <w:p w14:paraId="3117C06B"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(4)</w:t>
            </w:r>
          </w:p>
        </w:tc>
        <w:tc>
          <w:tcPr>
            <w:tcW w:w="854" w:type="pct"/>
            <w:vAlign w:val="center"/>
          </w:tcPr>
          <w:p w14:paraId="773DA70E"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5</w:t>
            </w:r>
            <w:r w:rsidRPr="001503A1">
              <w:rPr>
                <w:rFonts w:ascii="Times New Roman" w:eastAsia="宋体" w:hAnsi="Times New Roman" w:cs="Times New Roman"/>
                <w:color w:val="000000" w:themeColor="text1"/>
                <w:kern w:val="0"/>
                <w:sz w:val="18"/>
                <w:szCs w:val="18"/>
              </w:rPr>
              <w:t>)</w:t>
            </w:r>
          </w:p>
        </w:tc>
      </w:tr>
      <w:tr w:rsidR="001503A1" w:rsidRPr="001503A1" w14:paraId="0D69B92A" w14:textId="77777777" w:rsidTr="00746B28">
        <w:tc>
          <w:tcPr>
            <w:tcW w:w="730" w:type="pct"/>
            <w:vMerge/>
            <w:tcBorders>
              <w:bottom w:val="single" w:sz="4" w:space="0" w:color="auto"/>
            </w:tcBorders>
            <w:vAlign w:val="center"/>
          </w:tcPr>
          <w:p w14:paraId="6617A96E" w14:textId="77777777" w:rsidR="00F33265" w:rsidRPr="001503A1" w:rsidRDefault="00F33265" w:rsidP="00F33265">
            <w:pPr>
              <w:autoSpaceDE w:val="0"/>
              <w:autoSpaceDN w:val="0"/>
              <w:contextualSpacing/>
              <w:jc w:val="center"/>
              <w:rPr>
                <w:rFonts w:ascii="Times New Roman" w:eastAsia="宋体" w:hAnsi="Times New Roman" w:cs="Times New Roman"/>
                <w:color w:val="000000" w:themeColor="text1"/>
                <w:kern w:val="0"/>
                <w:sz w:val="18"/>
                <w:szCs w:val="18"/>
              </w:rPr>
            </w:pPr>
          </w:p>
        </w:tc>
        <w:tc>
          <w:tcPr>
            <w:tcW w:w="854" w:type="pct"/>
            <w:tcBorders>
              <w:bottom w:val="single" w:sz="4" w:space="0" w:color="auto"/>
            </w:tcBorders>
          </w:tcPr>
          <w:p w14:paraId="34CBC4EB" w14:textId="77777777" w:rsidR="00F33265" w:rsidRPr="001503A1" w:rsidRDefault="00F33265" w:rsidP="00F33265">
            <w:pPr>
              <w:autoSpaceDE w:val="0"/>
              <w:autoSpaceDN w:val="0"/>
              <w:contextualSpacing/>
              <w:jc w:val="center"/>
              <w:rPr>
                <w:rFonts w:ascii="Times New Roman" w:eastAsia="宋体" w:hAnsi="Times New Roman" w:cs="Times New Roman"/>
                <w:i/>
                <w:iCs/>
                <w:color w:val="000000" w:themeColor="text1"/>
                <w:kern w:val="0"/>
                <w:sz w:val="18"/>
                <w:szCs w:val="18"/>
              </w:rPr>
            </w:pPr>
          </w:p>
        </w:tc>
        <w:tc>
          <w:tcPr>
            <w:tcW w:w="854" w:type="pct"/>
            <w:tcBorders>
              <w:bottom w:val="single" w:sz="4" w:space="0" w:color="auto"/>
            </w:tcBorders>
            <w:vAlign w:val="center"/>
          </w:tcPr>
          <w:p w14:paraId="084E2AB0" w14:textId="77777777" w:rsidR="00F33265" w:rsidRPr="001503A1" w:rsidRDefault="00F33265" w:rsidP="00F33265">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854" w:type="pct"/>
            <w:tcBorders>
              <w:bottom w:val="single" w:sz="4" w:space="0" w:color="auto"/>
            </w:tcBorders>
            <w:vAlign w:val="center"/>
          </w:tcPr>
          <w:p w14:paraId="39C86812" w14:textId="77777777" w:rsidR="00F33265" w:rsidRPr="001503A1" w:rsidRDefault="00F33265" w:rsidP="00F33265">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854" w:type="pct"/>
            <w:tcBorders>
              <w:bottom w:val="single" w:sz="4" w:space="0" w:color="auto"/>
            </w:tcBorders>
            <w:vAlign w:val="center"/>
          </w:tcPr>
          <w:p w14:paraId="584D54FA" w14:textId="77777777" w:rsidR="00F33265" w:rsidRPr="001503A1" w:rsidRDefault="00F33265" w:rsidP="00F33265">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c>
          <w:tcPr>
            <w:tcW w:w="854" w:type="pct"/>
            <w:tcBorders>
              <w:bottom w:val="single" w:sz="4" w:space="0" w:color="auto"/>
            </w:tcBorders>
            <w:vAlign w:val="center"/>
          </w:tcPr>
          <w:p w14:paraId="29C1DDE1" w14:textId="77777777" w:rsidR="00F33265" w:rsidRPr="001503A1" w:rsidRDefault="00F33265" w:rsidP="00F33265">
            <w:pPr>
              <w:autoSpaceDE w:val="0"/>
              <w:autoSpaceDN w:val="0"/>
              <w:contextualSpacing/>
              <w:jc w:val="center"/>
              <w:rPr>
                <w:rFonts w:ascii="Times New Roman" w:eastAsia="宋体" w:hAnsi="Times New Roman" w:cs="Times New Roman"/>
                <w:i/>
                <w:iCs/>
                <w:color w:val="000000" w:themeColor="text1"/>
                <w:kern w:val="0"/>
                <w:sz w:val="18"/>
                <w:szCs w:val="18"/>
              </w:rPr>
            </w:pPr>
            <w:r w:rsidRPr="001503A1">
              <w:rPr>
                <w:rFonts w:ascii="Times New Roman" w:eastAsia="宋体" w:hAnsi="Times New Roman" w:cs="Times New Roman"/>
                <w:i/>
                <w:iCs/>
                <w:color w:val="000000" w:themeColor="text1"/>
                <w:kern w:val="0"/>
                <w:sz w:val="18"/>
                <w:szCs w:val="18"/>
              </w:rPr>
              <w:t>Risk</w:t>
            </w:r>
          </w:p>
        </w:tc>
      </w:tr>
      <w:tr w:rsidR="001503A1" w:rsidRPr="001503A1" w14:paraId="56C383D7" w14:textId="77777777" w:rsidTr="00746B28">
        <w:tc>
          <w:tcPr>
            <w:tcW w:w="730" w:type="pct"/>
            <w:vMerge w:val="restart"/>
            <w:tcBorders>
              <w:bottom w:val="nil"/>
            </w:tcBorders>
            <w:vAlign w:val="center"/>
          </w:tcPr>
          <w:p w14:paraId="2BF12B1E" w14:textId="77777777" w:rsidR="00F33265" w:rsidRPr="001503A1" w:rsidRDefault="00F33265" w:rsidP="00F33265">
            <w:pPr>
              <w:autoSpaceDE w:val="0"/>
              <w:autoSpaceDN w:val="0"/>
              <w:contextualSpacing/>
              <w:jc w:val="center"/>
              <w:rPr>
                <w:rFonts w:ascii="Times New Roman" w:eastAsia="楷体" w:hAnsi="Times New Roman" w:cs="Times New Roman"/>
                <w:i/>
                <w:iCs/>
                <w:color w:val="000000" w:themeColor="text1"/>
                <w:kern w:val="0"/>
                <w:sz w:val="18"/>
                <w:szCs w:val="18"/>
              </w:rPr>
            </w:pPr>
            <w:r w:rsidRPr="001503A1">
              <w:rPr>
                <w:rFonts w:ascii="Times New Roman" w:eastAsia="楷体" w:hAnsi="Times New Roman" w:cs="Times New Roman"/>
                <w:i/>
                <w:iCs/>
                <w:color w:val="000000" w:themeColor="text1"/>
                <w:kern w:val="0"/>
                <w:sz w:val="18"/>
                <w:szCs w:val="18"/>
              </w:rPr>
              <w:t>Transfer</w:t>
            </w:r>
          </w:p>
        </w:tc>
        <w:tc>
          <w:tcPr>
            <w:tcW w:w="854" w:type="pct"/>
            <w:tcBorders>
              <w:top w:val="single" w:sz="4" w:space="0" w:color="auto"/>
              <w:left w:val="nil"/>
              <w:bottom w:val="nil"/>
              <w:right w:val="single" w:sz="4" w:space="0" w:color="auto"/>
            </w:tcBorders>
          </w:tcPr>
          <w:p w14:paraId="5E0FF3D7"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-0.0007</w:t>
            </w:r>
          </w:p>
        </w:tc>
        <w:tc>
          <w:tcPr>
            <w:tcW w:w="854" w:type="pct"/>
            <w:tcBorders>
              <w:top w:val="single" w:sz="4" w:space="0" w:color="auto"/>
              <w:left w:val="single" w:sz="4" w:space="0" w:color="auto"/>
              <w:bottom w:val="nil"/>
              <w:right w:val="single" w:sz="4" w:space="0" w:color="auto"/>
            </w:tcBorders>
          </w:tcPr>
          <w:p w14:paraId="250A660F"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-0.0004</w:t>
            </w:r>
          </w:p>
        </w:tc>
        <w:tc>
          <w:tcPr>
            <w:tcW w:w="854" w:type="pct"/>
            <w:tcBorders>
              <w:top w:val="single" w:sz="4" w:space="0" w:color="auto"/>
              <w:left w:val="single" w:sz="4" w:space="0" w:color="auto"/>
              <w:bottom w:val="nil"/>
              <w:right w:val="single" w:sz="4" w:space="0" w:color="auto"/>
            </w:tcBorders>
          </w:tcPr>
          <w:p w14:paraId="1AFA16F5"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-0.0014</w:t>
            </w:r>
          </w:p>
        </w:tc>
        <w:tc>
          <w:tcPr>
            <w:tcW w:w="854" w:type="pct"/>
            <w:tcBorders>
              <w:top w:val="single" w:sz="4" w:space="0" w:color="auto"/>
              <w:left w:val="single" w:sz="4" w:space="0" w:color="auto"/>
              <w:bottom w:val="nil"/>
              <w:right w:val="single" w:sz="4" w:space="0" w:color="auto"/>
            </w:tcBorders>
          </w:tcPr>
          <w:p w14:paraId="074F6FC0"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-0.0043</w:t>
            </w:r>
          </w:p>
        </w:tc>
        <w:tc>
          <w:tcPr>
            <w:tcW w:w="854" w:type="pct"/>
            <w:tcBorders>
              <w:top w:val="single" w:sz="4" w:space="0" w:color="auto"/>
              <w:left w:val="single" w:sz="4" w:space="0" w:color="auto"/>
              <w:bottom w:val="nil"/>
              <w:right w:val="nil"/>
            </w:tcBorders>
          </w:tcPr>
          <w:p w14:paraId="0D7EDBD0"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-0.0169</w:t>
            </w:r>
            <w:r w:rsidRPr="001503A1">
              <w:rPr>
                <w:rFonts w:ascii="Times New Roman" w:eastAsia="楷体" w:hAnsi="Times New Roman" w:cs="Times New Roman"/>
                <w:color w:val="000000" w:themeColor="text1"/>
                <w:kern w:val="0"/>
                <w:sz w:val="18"/>
                <w:szCs w:val="18"/>
                <w:vertAlign w:val="superscript"/>
              </w:rPr>
              <w:t>**</w:t>
            </w:r>
          </w:p>
        </w:tc>
      </w:tr>
      <w:tr w:rsidR="001503A1" w:rsidRPr="001503A1" w14:paraId="38BEDADA" w14:textId="77777777" w:rsidTr="00746B28">
        <w:tc>
          <w:tcPr>
            <w:tcW w:w="730" w:type="pct"/>
            <w:vMerge/>
            <w:tcBorders>
              <w:top w:val="nil"/>
              <w:bottom w:val="nil"/>
            </w:tcBorders>
            <w:vAlign w:val="center"/>
          </w:tcPr>
          <w:p w14:paraId="25A5C1AC" w14:textId="77777777" w:rsidR="00F33265" w:rsidRPr="001503A1" w:rsidRDefault="00F33265" w:rsidP="00F33265">
            <w:pPr>
              <w:autoSpaceDE w:val="0"/>
              <w:autoSpaceDN w:val="0"/>
              <w:contextualSpacing/>
              <w:jc w:val="center"/>
              <w:rPr>
                <w:rFonts w:ascii="Times New Roman" w:eastAsia="楷体" w:hAnsi="Times New Roman" w:cs="Times New Roman"/>
                <w:i/>
                <w:iCs/>
                <w:color w:val="000000" w:themeColor="text1"/>
                <w:kern w:val="0"/>
                <w:sz w:val="18"/>
                <w:szCs w:val="18"/>
              </w:rPr>
            </w:pPr>
          </w:p>
        </w:tc>
        <w:tc>
          <w:tcPr>
            <w:tcW w:w="854" w:type="pct"/>
            <w:tcBorders>
              <w:top w:val="nil"/>
              <w:left w:val="nil"/>
              <w:bottom w:val="nil"/>
              <w:right w:val="single" w:sz="4" w:space="0" w:color="auto"/>
            </w:tcBorders>
          </w:tcPr>
          <w:p w14:paraId="6303B2E8"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(0.0008)</w:t>
            </w:r>
          </w:p>
        </w:tc>
        <w:tc>
          <w:tcPr>
            <w:tcW w:w="854" w:type="pct"/>
            <w:tcBorders>
              <w:top w:val="nil"/>
              <w:left w:val="single" w:sz="4" w:space="0" w:color="auto"/>
              <w:bottom w:val="nil"/>
              <w:right w:val="single" w:sz="4" w:space="0" w:color="auto"/>
            </w:tcBorders>
          </w:tcPr>
          <w:p w14:paraId="1FF35CCE"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(0.0010)</w:t>
            </w:r>
          </w:p>
        </w:tc>
        <w:tc>
          <w:tcPr>
            <w:tcW w:w="854" w:type="pct"/>
            <w:tcBorders>
              <w:top w:val="nil"/>
              <w:left w:val="single" w:sz="4" w:space="0" w:color="auto"/>
              <w:bottom w:val="nil"/>
              <w:right w:val="single" w:sz="4" w:space="0" w:color="auto"/>
            </w:tcBorders>
          </w:tcPr>
          <w:p w14:paraId="563BFB3D"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(0.0009)</w:t>
            </w:r>
          </w:p>
        </w:tc>
        <w:tc>
          <w:tcPr>
            <w:tcW w:w="854" w:type="pct"/>
            <w:tcBorders>
              <w:top w:val="nil"/>
              <w:left w:val="single" w:sz="4" w:space="0" w:color="auto"/>
              <w:bottom w:val="nil"/>
              <w:right w:val="single" w:sz="4" w:space="0" w:color="auto"/>
            </w:tcBorders>
          </w:tcPr>
          <w:p w14:paraId="56223A09"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(0.0040)</w:t>
            </w:r>
          </w:p>
        </w:tc>
        <w:tc>
          <w:tcPr>
            <w:tcW w:w="854" w:type="pct"/>
            <w:tcBorders>
              <w:top w:val="nil"/>
              <w:left w:val="single" w:sz="4" w:space="0" w:color="auto"/>
              <w:bottom w:val="nil"/>
              <w:right w:val="nil"/>
            </w:tcBorders>
          </w:tcPr>
          <w:p w14:paraId="7A19542A"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(0.0082)</w:t>
            </w:r>
          </w:p>
        </w:tc>
      </w:tr>
      <w:tr w:rsidR="001503A1" w:rsidRPr="001503A1" w14:paraId="1100088F" w14:textId="77777777" w:rsidTr="00746B28">
        <w:tc>
          <w:tcPr>
            <w:tcW w:w="730" w:type="pct"/>
            <w:tcBorders>
              <w:top w:val="nil"/>
              <w:bottom w:val="nil"/>
            </w:tcBorders>
            <w:vAlign w:val="center"/>
          </w:tcPr>
          <w:p w14:paraId="0CDE9FF6"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控制变量</w:t>
            </w:r>
          </w:p>
        </w:tc>
        <w:tc>
          <w:tcPr>
            <w:tcW w:w="854" w:type="pct"/>
            <w:tcBorders>
              <w:top w:val="nil"/>
              <w:bottom w:val="nil"/>
            </w:tcBorders>
            <w:vAlign w:val="center"/>
          </w:tcPr>
          <w:p w14:paraId="53AB4DC6"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nil"/>
            </w:tcBorders>
            <w:vAlign w:val="center"/>
          </w:tcPr>
          <w:p w14:paraId="6DD3819D"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nil"/>
            </w:tcBorders>
            <w:vAlign w:val="center"/>
          </w:tcPr>
          <w:p w14:paraId="66205852"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nil"/>
            </w:tcBorders>
            <w:vAlign w:val="center"/>
          </w:tcPr>
          <w:p w14:paraId="01E93E66"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nil"/>
            </w:tcBorders>
            <w:vAlign w:val="center"/>
          </w:tcPr>
          <w:p w14:paraId="6C0B8527"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r>
      <w:tr w:rsidR="001503A1" w:rsidRPr="001503A1" w14:paraId="5F4B562B" w14:textId="77777777" w:rsidTr="00746B28">
        <w:tc>
          <w:tcPr>
            <w:tcW w:w="730" w:type="pct"/>
            <w:tcBorders>
              <w:top w:val="nil"/>
              <w:bottom w:val="nil"/>
            </w:tcBorders>
            <w:vAlign w:val="center"/>
          </w:tcPr>
          <w:p w14:paraId="495502D5"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个体效应</w:t>
            </w:r>
          </w:p>
        </w:tc>
        <w:tc>
          <w:tcPr>
            <w:tcW w:w="854" w:type="pct"/>
            <w:tcBorders>
              <w:top w:val="nil"/>
              <w:bottom w:val="nil"/>
            </w:tcBorders>
            <w:vAlign w:val="center"/>
          </w:tcPr>
          <w:p w14:paraId="5D5A77A6"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nil"/>
            </w:tcBorders>
            <w:vAlign w:val="center"/>
          </w:tcPr>
          <w:p w14:paraId="72AD0613"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nil"/>
            </w:tcBorders>
            <w:vAlign w:val="center"/>
          </w:tcPr>
          <w:p w14:paraId="72CF00E2"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nil"/>
            </w:tcBorders>
            <w:vAlign w:val="center"/>
          </w:tcPr>
          <w:p w14:paraId="0A61D338"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nil"/>
            </w:tcBorders>
            <w:vAlign w:val="center"/>
          </w:tcPr>
          <w:p w14:paraId="65F0BB39"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r>
      <w:tr w:rsidR="001503A1" w:rsidRPr="001503A1" w14:paraId="3B9A93DA" w14:textId="77777777" w:rsidTr="00746B28">
        <w:tc>
          <w:tcPr>
            <w:tcW w:w="730" w:type="pct"/>
            <w:tcBorders>
              <w:top w:val="nil"/>
              <w:bottom w:val="single" w:sz="4" w:space="0" w:color="auto"/>
            </w:tcBorders>
            <w:vAlign w:val="center"/>
          </w:tcPr>
          <w:p w14:paraId="68358F01"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时间效应</w:t>
            </w:r>
          </w:p>
        </w:tc>
        <w:tc>
          <w:tcPr>
            <w:tcW w:w="854" w:type="pct"/>
            <w:tcBorders>
              <w:top w:val="nil"/>
              <w:bottom w:val="single" w:sz="4" w:space="0" w:color="auto"/>
            </w:tcBorders>
            <w:vAlign w:val="center"/>
          </w:tcPr>
          <w:p w14:paraId="69BBFBF7"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single" w:sz="4" w:space="0" w:color="auto"/>
            </w:tcBorders>
            <w:vAlign w:val="center"/>
          </w:tcPr>
          <w:p w14:paraId="6BBE346E"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single" w:sz="4" w:space="0" w:color="auto"/>
            </w:tcBorders>
            <w:vAlign w:val="center"/>
          </w:tcPr>
          <w:p w14:paraId="7AEE49E8"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single" w:sz="4" w:space="0" w:color="auto"/>
            </w:tcBorders>
            <w:vAlign w:val="center"/>
          </w:tcPr>
          <w:p w14:paraId="2296437E"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c>
          <w:tcPr>
            <w:tcW w:w="854" w:type="pct"/>
            <w:tcBorders>
              <w:top w:val="nil"/>
              <w:bottom w:val="single" w:sz="4" w:space="0" w:color="auto"/>
            </w:tcBorders>
            <w:vAlign w:val="center"/>
          </w:tcPr>
          <w:p w14:paraId="79A7F623"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控制</w:t>
            </w:r>
          </w:p>
        </w:tc>
      </w:tr>
      <w:tr w:rsidR="001503A1" w:rsidRPr="001503A1" w14:paraId="084F362C" w14:textId="77777777" w:rsidTr="00746B28">
        <w:tc>
          <w:tcPr>
            <w:tcW w:w="730" w:type="pct"/>
            <w:tcBorders>
              <w:top w:val="single" w:sz="4" w:space="0" w:color="auto"/>
              <w:bottom w:val="nil"/>
            </w:tcBorders>
            <w:vAlign w:val="center"/>
          </w:tcPr>
          <w:p w14:paraId="3426E4D8"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观测值</w:t>
            </w:r>
          </w:p>
        </w:tc>
        <w:tc>
          <w:tcPr>
            <w:tcW w:w="854" w:type="pct"/>
            <w:tcBorders>
              <w:top w:val="single" w:sz="4" w:space="0" w:color="auto"/>
              <w:left w:val="nil"/>
              <w:bottom w:val="nil"/>
              <w:right w:val="single" w:sz="4" w:space="0" w:color="auto"/>
            </w:tcBorders>
          </w:tcPr>
          <w:p w14:paraId="5325F35B"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854" w:type="pct"/>
            <w:tcBorders>
              <w:top w:val="single" w:sz="4" w:space="0" w:color="auto"/>
              <w:left w:val="single" w:sz="4" w:space="0" w:color="auto"/>
              <w:bottom w:val="nil"/>
              <w:right w:val="single" w:sz="4" w:space="0" w:color="auto"/>
            </w:tcBorders>
          </w:tcPr>
          <w:p w14:paraId="71F5CF6F"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854" w:type="pct"/>
            <w:tcBorders>
              <w:top w:val="single" w:sz="4" w:space="0" w:color="auto"/>
              <w:left w:val="single" w:sz="4" w:space="0" w:color="auto"/>
              <w:bottom w:val="nil"/>
              <w:right w:val="single" w:sz="4" w:space="0" w:color="auto"/>
            </w:tcBorders>
          </w:tcPr>
          <w:p w14:paraId="7E23CC4F"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854" w:type="pct"/>
            <w:tcBorders>
              <w:top w:val="single" w:sz="4" w:space="0" w:color="auto"/>
              <w:left w:val="single" w:sz="4" w:space="0" w:color="auto"/>
              <w:bottom w:val="nil"/>
              <w:right w:val="single" w:sz="4" w:space="0" w:color="auto"/>
            </w:tcBorders>
          </w:tcPr>
          <w:p w14:paraId="3E61DD9F"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c>
          <w:tcPr>
            <w:tcW w:w="854" w:type="pct"/>
            <w:tcBorders>
              <w:top w:val="single" w:sz="4" w:space="0" w:color="auto"/>
              <w:left w:val="single" w:sz="4" w:space="0" w:color="auto"/>
              <w:bottom w:val="nil"/>
              <w:right w:val="nil"/>
            </w:tcBorders>
          </w:tcPr>
          <w:p w14:paraId="4B7FFE65"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10066</w:t>
            </w:r>
          </w:p>
        </w:tc>
      </w:tr>
      <w:tr w:rsidR="00F33265" w:rsidRPr="001503A1" w14:paraId="2A95F277" w14:textId="77777777" w:rsidTr="00746B28">
        <w:tc>
          <w:tcPr>
            <w:tcW w:w="730" w:type="pct"/>
            <w:tcBorders>
              <w:top w:val="nil"/>
            </w:tcBorders>
            <w:vAlign w:val="center"/>
          </w:tcPr>
          <w:p w14:paraId="61DDE26A"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hint="eastAsia"/>
                <w:color w:val="000000" w:themeColor="text1"/>
                <w:kern w:val="0"/>
                <w:sz w:val="18"/>
                <w:szCs w:val="18"/>
              </w:rPr>
              <w:t>R</w:t>
            </w:r>
            <w:r w:rsidRPr="001503A1">
              <w:rPr>
                <w:rFonts w:ascii="Times New Roman" w:eastAsia="楷体" w:hAnsi="Times New Roman" w:cs="Times New Roman" w:hint="eastAsia"/>
                <w:color w:val="000000" w:themeColor="text1"/>
                <w:kern w:val="0"/>
                <w:sz w:val="18"/>
                <w:szCs w:val="18"/>
                <w:vertAlign w:val="superscript"/>
              </w:rPr>
              <w:t>2</w:t>
            </w:r>
          </w:p>
        </w:tc>
        <w:tc>
          <w:tcPr>
            <w:tcW w:w="854" w:type="pct"/>
            <w:tcBorders>
              <w:top w:val="nil"/>
              <w:left w:val="nil"/>
              <w:bottom w:val="single" w:sz="4" w:space="0" w:color="auto"/>
              <w:right w:val="single" w:sz="4" w:space="0" w:color="auto"/>
            </w:tcBorders>
          </w:tcPr>
          <w:p w14:paraId="1843F1B3"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0.0309</w:t>
            </w:r>
          </w:p>
        </w:tc>
        <w:tc>
          <w:tcPr>
            <w:tcW w:w="854" w:type="pct"/>
            <w:tcBorders>
              <w:top w:val="nil"/>
              <w:left w:val="single" w:sz="4" w:space="0" w:color="auto"/>
              <w:bottom w:val="single" w:sz="4" w:space="0" w:color="auto"/>
              <w:right w:val="single" w:sz="4" w:space="0" w:color="auto"/>
            </w:tcBorders>
          </w:tcPr>
          <w:p w14:paraId="019C16CE"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0.0315</w:t>
            </w:r>
          </w:p>
        </w:tc>
        <w:tc>
          <w:tcPr>
            <w:tcW w:w="854" w:type="pct"/>
            <w:tcBorders>
              <w:top w:val="nil"/>
              <w:left w:val="single" w:sz="4" w:space="0" w:color="auto"/>
              <w:bottom w:val="single" w:sz="4" w:space="0" w:color="auto"/>
              <w:right w:val="single" w:sz="4" w:space="0" w:color="auto"/>
            </w:tcBorders>
          </w:tcPr>
          <w:p w14:paraId="5C2387D8"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0.0239</w:t>
            </w:r>
          </w:p>
        </w:tc>
        <w:tc>
          <w:tcPr>
            <w:tcW w:w="854" w:type="pct"/>
            <w:tcBorders>
              <w:top w:val="nil"/>
              <w:left w:val="single" w:sz="4" w:space="0" w:color="auto"/>
              <w:bottom w:val="single" w:sz="4" w:space="0" w:color="auto"/>
              <w:right w:val="single" w:sz="4" w:space="0" w:color="auto"/>
            </w:tcBorders>
          </w:tcPr>
          <w:p w14:paraId="5A1F4D59"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0.0154</w:t>
            </w:r>
          </w:p>
        </w:tc>
        <w:tc>
          <w:tcPr>
            <w:tcW w:w="854" w:type="pct"/>
            <w:tcBorders>
              <w:top w:val="nil"/>
              <w:left w:val="single" w:sz="4" w:space="0" w:color="auto"/>
              <w:bottom w:val="single" w:sz="4" w:space="0" w:color="auto"/>
              <w:right w:val="nil"/>
            </w:tcBorders>
          </w:tcPr>
          <w:p w14:paraId="7DE73981" w14:textId="77777777" w:rsidR="00F33265" w:rsidRPr="001503A1" w:rsidRDefault="00F33265" w:rsidP="00F33265">
            <w:pPr>
              <w:autoSpaceDE w:val="0"/>
              <w:autoSpaceDN w:val="0"/>
              <w:contextualSpacing/>
              <w:jc w:val="center"/>
              <w:rPr>
                <w:rFonts w:ascii="Times New Roman" w:eastAsia="楷体" w:hAnsi="Times New Roman" w:cs="Times New Roman"/>
                <w:color w:val="000000" w:themeColor="text1"/>
                <w:kern w:val="0"/>
                <w:sz w:val="18"/>
                <w:szCs w:val="18"/>
              </w:rPr>
            </w:pPr>
            <w:r w:rsidRPr="001503A1">
              <w:rPr>
                <w:rFonts w:ascii="Times New Roman" w:eastAsia="楷体" w:hAnsi="Times New Roman" w:cs="Times New Roman"/>
                <w:color w:val="000000" w:themeColor="text1"/>
                <w:kern w:val="0"/>
                <w:sz w:val="18"/>
                <w:szCs w:val="18"/>
              </w:rPr>
              <w:t>0.0210</w:t>
            </w:r>
          </w:p>
        </w:tc>
      </w:tr>
    </w:tbl>
    <w:p w14:paraId="55838896" w14:textId="77777777" w:rsidR="00F33265" w:rsidRPr="001503A1" w:rsidRDefault="00F33265" w:rsidP="00F33265">
      <w:pPr>
        <w:contextualSpacing/>
        <w:jc w:val="center"/>
        <w:rPr>
          <w:rFonts w:ascii="Times New Roman" w:eastAsia="华文仿宋" w:hAnsi="Times New Roman" w:cs="Times New Roman"/>
          <w:noProof/>
          <w:color w:val="000000" w:themeColor="text1"/>
        </w:rPr>
      </w:pPr>
    </w:p>
    <w:p w14:paraId="321BB5AA" w14:textId="77777777" w:rsidR="00F33265" w:rsidRPr="001503A1" w:rsidRDefault="00F33265" w:rsidP="00F33265">
      <w:pPr>
        <w:contextualSpacing/>
        <w:jc w:val="center"/>
        <w:rPr>
          <w:rFonts w:ascii="Times New Roman" w:eastAsia="华文仿宋" w:hAnsi="Times New Roman" w:cs="Times New Roman"/>
          <w:noProof/>
          <w:color w:val="000000" w:themeColor="text1"/>
        </w:rPr>
      </w:pPr>
      <w:r w:rsidRPr="001503A1">
        <w:rPr>
          <w:rFonts w:ascii="Times New Roman" w:eastAsia="华文仿宋" w:hAnsi="Times New Roman" w:cs="Times New Roman"/>
          <w:noProof/>
          <w:color w:val="000000" w:themeColor="text1"/>
        </w:rPr>
        <w:lastRenderedPageBreak/>
        <w:drawing>
          <wp:inline distT="0" distB="0" distL="0" distR="0" wp14:anchorId="0C616F38" wp14:editId="10F46354">
            <wp:extent cx="3615234" cy="2630317"/>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19138" cy="2633157"/>
                    </a:xfrm>
                    <a:prstGeom prst="rect">
                      <a:avLst/>
                    </a:prstGeom>
                  </pic:spPr>
                </pic:pic>
              </a:graphicData>
            </a:graphic>
          </wp:inline>
        </w:drawing>
      </w:r>
    </w:p>
    <w:p w14:paraId="6C15060F" w14:textId="77777777" w:rsidR="00F33265" w:rsidRPr="001503A1" w:rsidRDefault="00F33265" w:rsidP="00F33265">
      <w:pPr>
        <w:contextualSpacing/>
        <w:jc w:val="center"/>
        <w:rPr>
          <w:rFonts w:ascii="Times New Roman" w:eastAsia="黑体" w:hAnsi="Times New Roman" w:cs="Times New Roman"/>
          <w:b/>
          <w:bCs/>
          <w:color w:val="000000" w:themeColor="text1"/>
          <w:szCs w:val="21"/>
        </w:rPr>
      </w:pPr>
      <w:r w:rsidRPr="001503A1">
        <w:rPr>
          <w:rFonts w:ascii="Times New Roman" w:eastAsia="黑体" w:hAnsi="Times New Roman" w:cs="Times New Roman" w:hint="eastAsia"/>
          <w:b/>
          <w:bCs/>
          <w:color w:val="000000" w:themeColor="text1"/>
          <w:szCs w:val="21"/>
        </w:rPr>
        <w:t>附</w:t>
      </w:r>
      <w:r w:rsidRPr="001503A1">
        <w:rPr>
          <w:rFonts w:ascii="Times New Roman" w:eastAsia="黑体" w:hAnsi="Times New Roman" w:cs="Times New Roman"/>
          <w:b/>
          <w:bCs/>
          <w:color w:val="000000" w:themeColor="text1"/>
          <w:szCs w:val="21"/>
        </w:rPr>
        <w:t>图</w:t>
      </w:r>
      <w:r w:rsidRPr="001503A1">
        <w:rPr>
          <w:rFonts w:ascii="Times New Roman" w:eastAsia="黑体" w:hAnsi="Times New Roman" w:cs="Times New Roman" w:hint="eastAsia"/>
          <w:b/>
          <w:bCs/>
          <w:color w:val="000000" w:themeColor="text1"/>
          <w:szCs w:val="21"/>
        </w:rPr>
        <w:t xml:space="preserve">1 </w:t>
      </w:r>
      <w:r w:rsidRPr="001503A1">
        <w:rPr>
          <w:rFonts w:ascii="Times New Roman" w:eastAsia="黑体" w:hAnsi="Times New Roman" w:cs="Times New Roman"/>
          <w:b/>
          <w:bCs/>
          <w:color w:val="000000" w:themeColor="text1"/>
          <w:szCs w:val="21"/>
        </w:rPr>
        <w:t xml:space="preserve"> </w:t>
      </w:r>
      <w:r w:rsidRPr="001503A1">
        <w:rPr>
          <w:rFonts w:ascii="Times New Roman" w:eastAsia="黑体" w:hAnsi="Times New Roman" w:cs="Times New Roman"/>
          <w:b/>
          <w:bCs/>
          <w:color w:val="000000" w:themeColor="text1"/>
          <w:szCs w:val="21"/>
        </w:rPr>
        <w:t>不同分位数回归</w:t>
      </w:r>
    </w:p>
    <w:p w14:paraId="7D965C57" w14:textId="0E88603E" w:rsidR="00F33265" w:rsidRPr="001503A1" w:rsidRDefault="00F33265" w:rsidP="00F33265">
      <w:pPr>
        <w:autoSpaceDE w:val="0"/>
        <w:autoSpaceDN w:val="0"/>
        <w:contextualSpacing/>
        <w:jc w:val="left"/>
        <w:rPr>
          <w:rFonts w:ascii="Times New Roman" w:eastAsia="华文仿宋" w:hAnsi="Times New Roman" w:cs="Times New Roman"/>
          <w:color w:val="000000" w:themeColor="text1"/>
          <w:kern w:val="0"/>
          <w:sz w:val="24"/>
          <w:szCs w:val="24"/>
        </w:rPr>
      </w:pPr>
    </w:p>
    <w:p w14:paraId="3DE4F2D9" w14:textId="13454BE5" w:rsidR="001A124A" w:rsidRPr="001503A1" w:rsidRDefault="001A124A">
      <w:pPr>
        <w:rPr>
          <w:rFonts w:hint="eastAsia"/>
          <w:color w:val="000000" w:themeColor="text1"/>
        </w:rPr>
      </w:pPr>
    </w:p>
    <w:p w14:paraId="0ACDCE52" w14:textId="77777777" w:rsidR="002354D6" w:rsidRPr="001503A1" w:rsidRDefault="002354D6" w:rsidP="002354D6">
      <w:pPr>
        <w:ind w:firstLineChars="200" w:firstLine="422"/>
        <w:contextualSpacing/>
        <w:rPr>
          <w:rFonts w:ascii="Times New Roman" w:eastAsia="黑体" w:hAnsi="Times New Roman" w:cs="Times New Roman"/>
          <w:b/>
          <w:color w:val="000000" w:themeColor="text1"/>
          <w:kern w:val="0"/>
          <w:szCs w:val="21"/>
        </w:rPr>
      </w:pPr>
      <w:r w:rsidRPr="001503A1">
        <w:rPr>
          <w:rFonts w:ascii="Times New Roman" w:eastAsia="黑体" w:hAnsi="Times New Roman" w:cs="Times New Roman"/>
          <w:b/>
          <w:color w:val="000000" w:themeColor="text1"/>
          <w:kern w:val="0"/>
          <w:szCs w:val="21"/>
        </w:rPr>
        <w:t>参考文献</w:t>
      </w:r>
    </w:p>
    <w:p w14:paraId="1038C4EE" w14:textId="6C647DFB" w:rsidR="00E62199" w:rsidRPr="001503A1" w:rsidRDefault="00E62199" w:rsidP="00EE6C33">
      <w:pPr>
        <w:pStyle w:val="a7"/>
        <w:numPr>
          <w:ilvl w:val="0"/>
          <w:numId w:val="2"/>
        </w:numPr>
        <w:ind w:left="442" w:firstLineChars="0" w:hanging="442"/>
        <w:contextualSpacing/>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hint="eastAsia"/>
          <w:color w:val="000000" w:themeColor="text1"/>
          <w:kern w:val="0"/>
          <w:sz w:val="18"/>
          <w:szCs w:val="18"/>
        </w:rPr>
        <w:t>陈运森、蒋艳、何玉润，</w:t>
      </w:r>
      <w:r w:rsidRPr="001503A1">
        <w:rPr>
          <w:rFonts w:ascii="Times New Roman" w:eastAsia="宋体" w:hAnsi="Times New Roman" w:cs="Times New Roman" w:hint="eastAsia"/>
          <w:color w:val="000000" w:themeColor="text1"/>
          <w:kern w:val="0"/>
          <w:sz w:val="18"/>
          <w:szCs w:val="18"/>
        </w:rPr>
        <w:t>2022</w:t>
      </w:r>
      <w:r w:rsidRPr="001503A1">
        <w:rPr>
          <w:rFonts w:ascii="Times New Roman" w:eastAsia="宋体" w:hAnsi="Times New Roman" w:cs="Times New Roman" w:hint="eastAsia"/>
          <w:color w:val="000000" w:themeColor="text1"/>
          <w:kern w:val="0"/>
          <w:sz w:val="18"/>
          <w:szCs w:val="18"/>
        </w:rPr>
        <w:t>：《违规经营投资责任追究与国有企业风险承担》，《会计研究》第</w:t>
      </w:r>
      <w:r w:rsidRPr="001503A1">
        <w:rPr>
          <w:rFonts w:ascii="Times New Roman" w:eastAsia="宋体" w:hAnsi="Times New Roman" w:cs="Times New Roman" w:hint="eastAsia"/>
          <w:color w:val="000000" w:themeColor="text1"/>
          <w:kern w:val="0"/>
          <w:sz w:val="18"/>
          <w:szCs w:val="18"/>
        </w:rPr>
        <w:t>4</w:t>
      </w:r>
      <w:r w:rsidRPr="001503A1">
        <w:rPr>
          <w:rFonts w:ascii="Times New Roman" w:eastAsia="宋体" w:hAnsi="Times New Roman" w:cs="Times New Roman" w:hint="eastAsia"/>
          <w:color w:val="000000" w:themeColor="text1"/>
          <w:kern w:val="0"/>
          <w:sz w:val="18"/>
          <w:szCs w:val="18"/>
        </w:rPr>
        <w:t>期</w:t>
      </w:r>
      <w:r w:rsidR="00991642">
        <w:rPr>
          <w:rFonts w:ascii="Times New Roman" w:eastAsia="宋体" w:hAnsi="Times New Roman" w:cs="Times New Roman" w:hint="eastAsia"/>
          <w:color w:val="000000" w:themeColor="text1"/>
          <w:kern w:val="0"/>
          <w:sz w:val="18"/>
          <w:szCs w:val="18"/>
        </w:rPr>
        <w:t>。</w:t>
      </w:r>
    </w:p>
    <w:p w14:paraId="7E8936B2" w14:textId="64FE70C3" w:rsidR="00E62199" w:rsidRPr="001503A1" w:rsidRDefault="00E62199" w:rsidP="00EE6C33">
      <w:pPr>
        <w:pStyle w:val="a7"/>
        <w:numPr>
          <w:ilvl w:val="0"/>
          <w:numId w:val="2"/>
        </w:numPr>
        <w:ind w:left="442" w:firstLineChars="0" w:hanging="442"/>
        <w:contextualSpacing/>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hint="eastAsia"/>
          <w:color w:val="000000" w:themeColor="text1"/>
          <w:kern w:val="0"/>
          <w:sz w:val="18"/>
          <w:szCs w:val="18"/>
        </w:rPr>
        <w:t>韩贺洋、杨兴全、周全、韩俊华，</w:t>
      </w:r>
      <w:r w:rsidRPr="001503A1">
        <w:rPr>
          <w:rFonts w:ascii="Times New Roman" w:eastAsia="宋体" w:hAnsi="Times New Roman" w:cs="Times New Roman" w:hint="eastAsia"/>
          <w:color w:val="000000" w:themeColor="text1"/>
          <w:kern w:val="0"/>
          <w:sz w:val="18"/>
          <w:szCs w:val="18"/>
        </w:rPr>
        <w:t>2024</w:t>
      </w:r>
      <w:r w:rsidRPr="001503A1">
        <w:rPr>
          <w:rFonts w:ascii="Times New Roman" w:eastAsia="宋体" w:hAnsi="Times New Roman" w:cs="Times New Roman" w:hint="eastAsia"/>
          <w:color w:val="000000" w:themeColor="text1"/>
          <w:kern w:val="0"/>
          <w:sz w:val="18"/>
          <w:szCs w:val="18"/>
        </w:rPr>
        <w:t>：《社保基金持股与企业风险承担：过度监督还是风险治理》，《会计研究》第</w:t>
      </w:r>
      <w:r w:rsidRPr="001503A1">
        <w:rPr>
          <w:rFonts w:ascii="Times New Roman" w:eastAsia="宋体" w:hAnsi="Times New Roman" w:cs="Times New Roman" w:hint="eastAsia"/>
          <w:color w:val="000000" w:themeColor="text1"/>
          <w:kern w:val="0"/>
          <w:sz w:val="18"/>
          <w:szCs w:val="18"/>
        </w:rPr>
        <w:t>1</w:t>
      </w:r>
      <w:r w:rsidRPr="001503A1">
        <w:rPr>
          <w:rFonts w:ascii="Times New Roman" w:eastAsia="宋体" w:hAnsi="Times New Roman" w:cs="Times New Roman" w:hint="eastAsia"/>
          <w:color w:val="000000" w:themeColor="text1"/>
          <w:kern w:val="0"/>
          <w:sz w:val="18"/>
          <w:szCs w:val="18"/>
        </w:rPr>
        <w:t>期。</w:t>
      </w:r>
    </w:p>
    <w:p w14:paraId="20471CE8" w14:textId="7F1C5F84" w:rsidR="00675270" w:rsidRPr="001503A1" w:rsidRDefault="00675270" w:rsidP="00EE6C33">
      <w:pPr>
        <w:pStyle w:val="a7"/>
        <w:numPr>
          <w:ilvl w:val="0"/>
          <w:numId w:val="2"/>
        </w:numPr>
        <w:ind w:left="442" w:firstLineChars="0" w:hanging="442"/>
        <w:contextualSpacing/>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刘贯春、吴佳其、叶永卫、黄馨</w:t>
      </w:r>
      <w:r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2</w:t>
      </w:r>
      <w:r w:rsidRPr="001503A1">
        <w:rPr>
          <w:rFonts w:ascii="Times New Roman" w:eastAsia="宋体" w:hAnsi="Times New Roman" w:cs="Times New Roman"/>
          <w:color w:val="000000" w:themeColor="text1"/>
          <w:kern w:val="0"/>
          <w:sz w:val="18"/>
          <w:szCs w:val="18"/>
        </w:rPr>
        <w:t>024</w:t>
      </w:r>
      <w:r w:rsidRPr="001503A1">
        <w:rPr>
          <w:rFonts w:ascii="Times New Roman" w:eastAsia="宋体" w:hAnsi="Times New Roman" w:cs="Times New Roman"/>
          <w:color w:val="000000" w:themeColor="text1"/>
          <w:kern w:val="0"/>
          <w:sz w:val="18"/>
          <w:szCs w:val="18"/>
        </w:rPr>
        <w:t>：《稳岗补贴、流动性约束与企业劳动力雇佣》，《数量经济技术经济研究》第</w:t>
      </w:r>
      <w:r w:rsidRPr="001503A1">
        <w:rPr>
          <w:rFonts w:ascii="Times New Roman" w:eastAsia="宋体" w:hAnsi="Times New Roman" w:cs="Times New Roman"/>
          <w:color w:val="000000" w:themeColor="text1"/>
          <w:kern w:val="0"/>
          <w:sz w:val="18"/>
          <w:szCs w:val="18"/>
        </w:rPr>
        <w:t>8</w:t>
      </w:r>
      <w:r w:rsidRPr="001503A1">
        <w:rPr>
          <w:rFonts w:ascii="Times New Roman" w:eastAsia="宋体" w:hAnsi="Times New Roman" w:cs="Times New Roman"/>
          <w:color w:val="000000" w:themeColor="text1"/>
          <w:kern w:val="0"/>
          <w:sz w:val="18"/>
          <w:szCs w:val="18"/>
        </w:rPr>
        <w:t>期。</w:t>
      </w:r>
    </w:p>
    <w:p w14:paraId="632CC27A" w14:textId="77777777" w:rsidR="00675270" w:rsidRPr="001503A1" w:rsidRDefault="00675270" w:rsidP="00EE6C33">
      <w:pPr>
        <w:pStyle w:val="a7"/>
        <w:numPr>
          <w:ilvl w:val="0"/>
          <w:numId w:val="2"/>
        </w:numPr>
        <w:ind w:left="442" w:firstLineChars="0" w:hanging="442"/>
        <w:contextualSpacing/>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余长林、马青山</w:t>
      </w:r>
      <w:r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2</w:t>
      </w:r>
      <w:r w:rsidRPr="001503A1">
        <w:rPr>
          <w:rFonts w:ascii="Times New Roman" w:eastAsia="宋体" w:hAnsi="Times New Roman" w:cs="Times New Roman"/>
          <w:color w:val="000000" w:themeColor="text1"/>
          <w:kern w:val="0"/>
          <w:sz w:val="18"/>
          <w:szCs w:val="18"/>
        </w:rPr>
        <w:t>023</w:t>
      </w:r>
      <w:r w:rsidRPr="001503A1">
        <w:rPr>
          <w:rFonts w:ascii="Times New Roman" w:eastAsia="宋体" w:hAnsi="Times New Roman" w:cs="Times New Roman"/>
          <w:color w:val="000000" w:themeColor="text1"/>
          <w:kern w:val="0"/>
          <w:sz w:val="18"/>
          <w:szCs w:val="18"/>
        </w:rPr>
        <w:t>：《特高压输电与区域经济发展</w:t>
      </w:r>
      <w:r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color w:val="000000" w:themeColor="text1"/>
          <w:kern w:val="0"/>
          <w:sz w:val="18"/>
          <w:szCs w:val="18"/>
        </w:rPr>
        <w:t>来自特高压工程的经验证据》，《数量经济技术经济研究》第</w:t>
      </w:r>
      <w:r w:rsidRPr="001503A1">
        <w:rPr>
          <w:rFonts w:ascii="Times New Roman" w:eastAsia="宋体" w:hAnsi="Times New Roman" w:cs="Times New Roman"/>
          <w:color w:val="000000" w:themeColor="text1"/>
          <w:kern w:val="0"/>
          <w:sz w:val="18"/>
          <w:szCs w:val="18"/>
        </w:rPr>
        <w:t>10</w:t>
      </w:r>
      <w:r w:rsidRPr="001503A1">
        <w:rPr>
          <w:rFonts w:ascii="Times New Roman" w:eastAsia="宋体" w:hAnsi="Times New Roman" w:cs="Times New Roman"/>
          <w:color w:val="000000" w:themeColor="text1"/>
          <w:kern w:val="0"/>
          <w:sz w:val="18"/>
          <w:szCs w:val="18"/>
        </w:rPr>
        <w:t>期。</w:t>
      </w:r>
    </w:p>
    <w:p w14:paraId="472DA620" w14:textId="77777777" w:rsidR="00675270" w:rsidRPr="001503A1" w:rsidRDefault="00675270" w:rsidP="00EE6C33">
      <w:pPr>
        <w:pStyle w:val="a7"/>
        <w:numPr>
          <w:ilvl w:val="0"/>
          <w:numId w:val="2"/>
        </w:numPr>
        <w:ind w:left="442" w:firstLineChars="0" w:hanging="442"/>
        <w:contextualSpacing/>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宋建波、文雯、王德宏</w:t>
      </w:r>
      <w:r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2</w:t>
      </w:r>
      <w:r w:rsidRPr="001503A1">
        <w:rPr>
          <w:rFonts w:ascii="Times New Roman" w:eastAsia="宋体" w:hAnsi="Times New Roman" w:cs="Times New Roman"/>
          <w:color w:val="000000" w:themeColor="text1"/>
          <w:kern w:val="0"/>
          <w:sz w:val="18"/>
          <w:szCs w:val="18"/>
        </w:rPr>
        <w:t>017</w:t>
      </w:r>
      <w:r w:rsidRPr="001503A1">
        <w:rPr>
          <w:rFonts w:ascii="Times New Roman" w:eastAsia="宋体" w:hAnsi="Times New Roman" w:cs="Times New Roman"/>
          <w:color w:val="000000" w:themeColor="text1"/>
          <w:kern w:val="0"/>
          <w:sz w:val="18"/>
          <w:szCs w:val="18"/>
        </w:rPr>
        <w:t>：《海归高管能促进企业风险承担吗</w:t>
      </w:r>
      <w:r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color w:val="000000" w:themeColor="text1"/>
          <w:kern w:val="0"/>
          <w:sz w:val="18"/>
          <w:szCs w:val="18"/>
        </w:rPr>
        <w:t>来自中国</w:t>
      </w:r>
      <w:r w:rsidRPr="001503A1">
        <w:rPr>
          <w:rFonts w:ascii="Times New Roman" w:eastAsia="宋体" w:hAnsi="Times New Roman" w:cs="Times New Roman"/>
          <w:color w:val="000000" w:themeColor="text1"/>
          <w:kern w:val="0"/>
          <w:sz w:val="18"/>
          <w:szCs w:val="18"/>
        </w:rPr>
        <w:t>A</w:t>
      </w:r>
      <w:r w:rsidRPr="001503A1">
        <w:rPr>
          <w:rFonts w:ascii="Times New Roman" w:eastAsia="宋体" w:hAnsi="Times New Roman" w:cs="Times New Roman"/>
          <w:color w:val="000000" w:themeColor="text1"/>
          <w:kern w:val="0"/>
          <w:sz w:val="18"/>
          <w:szCs w:val="18"/>
        </w:rPr>
        <w:t>股上市公司的经验证据》，《财贸经济》第</w:t>
      </w:r>
      <w:r w:rsidRPr="001503A1">
        <w:rPr>
          <w:rFonts w:ascii="Times New Roman" w:eastAsia="宋体" w:hAnsi="Times New Roman" w:cs="Times New Roman"/>
          <w:color w:val="000000" w:themeColor="text1"/>
          <w:kern w:val="0"/>
          <w:sz w:val="18"/>
          <w:szCs w:val="18"/>
        </w:rPr>
        <w:t>12</w:t>
      </w:r>
      <w:r w:rsidRPr="001503A1">
        <w:rPr>
          <w:rFonts w:ascii="Times New Roman" w:eastAsia="宋体" w:hAnsi="Times New Roman" w:cs="Times New Roman"/>
          <w:color w:val="000000" w:themeColor="text1"/>
          <w:kern w:val="0"/>
          <w:sz w:val="18"/>
          <w:szCs w:val="18"/>
        </w:rPr>
        <w:t>期。</w:t>
      </w:r>
    </w:p>
    <w:p w14:paraId="3D4AF15E" w14:textId="78FB46CF" w:rsidR="00675270" w:rsidRPr="001503A1" w:rsidRDefault="00675270" w:rsidP="00EE6C33">
      <w:pPr>
        <w:pStyle w:val="a7"/>
        <w:numPr>
          <w:ilvl w:val="0"/>
          <w:numId w:val="2"/>
        </w:numPr>
        <w:ind w:left="442" w:firstLineChars="0" w:hanging="442"/>
        <w:contextualSpacing/>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苏坤</w:t>
      </w:r>
      <w:r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2</w:t>
      </w:r>
      <w:r w:rsidRPr="001503A1">
        <w:rPr>
          <w:rFonts w:ascii="Times New Roman" w:eastAsia="宋体" w:hAnsi="Times New Roman" w:cs="Times New Roman"/>
          <w:color w:val="000000" w:themeColor="text1"/>
          <w:kern w:val="0"/>
          <w:sz w:val="18"/>
          <w:szCs w:val="18"/>
        </w:rPr>
        <w:t>015</w:t>
      </w:r>
      <w:r w:rsidRPr="001503A1">
        <w:rPr>
          <w:rFonts w:ascii="Times New Roman" w:eastAsia="宋体" w:hAnsi="Times New Roman" w:cs="Times New Roman"/>
          <w:color w:val="000000" w:themeColor="text1"/>
          <w:kern w:val="0"/>
          <w:sz w:val="18"/>
          <w:szCs w:val="18"/>
        </w:rPr>
        <w:t>：《管理层股权激励、风险承担与资本配置效率》，《管理科学》第</w:t>
      </w:r>
      <w:r w:rsidRPr="001503A1">
        <w:rPr>
          <w:rFonts w:ascii="Times New Roman" w:eastAsia="宋体" w:hAnsi="Times New Roman" w:cs="Times New Roman"/>
          <w:color w:val="000000" w:themeColor="text1"/>
          <w:kern w:val="0"/>
          <w:sz w:val="18"/>
          <w:szCs w:val="18"/>
        </w:rPr>
        <w:t>3</w:t>
      </w:r>
      <w:r w:rsidRPr="001503A1">
        <w:rPr>
          <w:rFonts w:ascii="Times New Roman" w:eastAsia="宋体" w:hAnsi="Times New Roman" w:cs="Times New Roman"/>
          <w:color w:val="000000" w:themeColor="text1"/>
          <w:kern w:val="0"/>
          <w:sz w:val="18"/>
          <w:szCs w:val="18"/>
        </w:rPr>
        <w:t>期。</w:t>
      </w:r>
    </w:p>
    <w:p w14:paraId="3A3DC5DB" w14:textId="45BB0086" w:rsidR="00EE6C33" w:rsidRPr="001503A1" w:rsidRDefault="00EE6C33" w:rsidP="00EE6C33">
      <w:pPr>
        <w:pStyle w:val="a7"/>
        <w:numPr>
          <w:ilvl w:val="0"/>
          <w:numId w:val="2"/>
        </w:numPr>
        <w:ind w:left="442" w:firstLineChars="0" w:hanging="442"/>
        <w:contextualSpacing/>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hint="eastAsia"/>
          <w:color w:val="000000" w:themeColor="text1"/>
          <w:kern w:val="0"/>
          <w:sz w:val="18"/>
          <w:szCs w:val="18"/>
        </w:rPr>
        <w:t>台文志、刘星、徐细雄，</w:t>
      </w:r>
      <w:r w:rsidRPr="001503A1">
        <w:rPr>
          <w:rFonts w:ascii="Times New Roman" w:eastAsia="宋体" w:hAnsi="Times New Roman" w:cs="Times New Roman" w:hint="eastAsia"/>
          <w:color w:val="000000" w:themeColor="text1"/>
          <w:kern w:val="0"/>
          <w:sz w:val="18"/>
          <w:szCs w:val="18"/>
        </w:rPr>
        <w:t>2024</w:t>
      </w:r>
      <w:r w:rsidRPr="001503A1">
        <w:rPr>
          <w:rFonts w:ascii="Times New Roman" w:eastAsia="宋体" w:hAnsi="Times New Roman" w:cs="Times New Roman" w:hint="eastAsia"/>
          <w:color w:val="000000" w:themeColor="text1"/>
          <w:kern w:val="0"/>
          <w:sz w:val="18"/>
          <w:szCs w:val="18"/>
        </w:rPr>
        <w:t>：《薪酬监管对央企风险承担的影响研究——基于《薪酬制度改革方案》</w:t>
      </w:r>
      <w:r w:rsidR="0012705E" w:rsidRPr="001503A1">
        <w:rPr>
          <w:rFonts w:ascii="Times New Roman" w:eastAsia="宋体" w:hAnsi="Times New Roman" w:cs="Times New Roman" w:hint="eastAsia"/>
          <w:color w:val="000000" w:themeColor="text1"/>
          <w:kern w:val="0"/>
          <w:sz w:val="18"/>
          <w:szCs w:val="18"/>
        </w:rPr>
        <w:t>准</w:t>
      </w:r>
      <w:r w:rsidRPr="001503A1">
        <w:rPr>
          <w:rFonts w:ascii="Times New Roman" w:eastAsia="宋体" w:hAnsi="Times New Roman" w:cs="Times New Roman" w:hint="eastAsia"/>
          <w:color w:val="000000" w:themeColor="text1"/>
          <w:kern w:val="0"/>
          <w:sz w:val="18"/>
          <w:szCs w:val="18"/>
        </w:rPr>
        <w:t>自然实验的证据》，《管理科学学报》第</w:t>
      </w:r>
      <w:r w:rsidRPr="001503A1">
        <w:rPr>
          <w:rFonts w:ascii="Times New Roman" w:eastAsia="宋体" w:hAnsi="Times New Roman" w:cs="Times New Roman" w:hint="eastAsia"/>
          <w:color w:val="000000" w:themeColor="text1"/>
          <w:kern w:val="0"/>
          <w:sz w:val="18"/>
          <w:szCs w:val="18"/>
        </w:rPr>
        <w:t>6</w:t>
      </w:r>
      <w:r w:rsidRPr="001503A1">
        <w:rPr>
          <w:rFonts w:ascii="Times New Roman" w:eastAsia="宋体" w:hAnsi="Times New Roman" w:cs="Times New Roman" w:hint="eastAsia"/>
          <w:color w:val="000000" w:themeColor="text1"/>
          <w:kern w:val="0"/>
          <w:sz w:val="18"/>
          <w:szCs w:val="18"/>
        </w:rPr>
        <w:t>期。</w:t>
      </w:r>
    </w:p>
    <w:p w14:paraId="7F1A7185" w14:textId="77777777" w:rsidR="00675270" w:rsidRPr="001503A1" w:rsidRDefault="00675270" w:rsidP="00EE6C33">
      <w:pPr>
        <w:pStyle w:val="a7"/>
        <w:numPr>
          <w:ilvl w:val="0"/>
          <w:numId w:val="2"/>
        </w:numPr>
        <w:ind w:left="442" w:firstLineChars="0" w:hanging="442"/>
        <w:contextualSpacing/>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曾嶒、唐松</w:t>
      </w:r>
      <w:r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hint="eastAsia"/>
          <w:color w:val="000000" w:themeColor="text1"/>
          <w:kern w:val="0"/>
          <w:sz w:val="18"/>
          <w:szCs w:val="18"/>
        </w:rPr>
        <w:t>2</w:t>
      </w:r>
      <w:r w:rsidRPr="001503A1">
        <w:rPr>
          <w:rFonts w:ascii="Times New Roman" w:eastAsia="宋体" w:hAnsi="Times New Roman" w:cs="Times New Roman"/>
          <w:color w:val="000000" w:themeColor="text1"/>
          <w:kern w:val="0"/>
          <w:sz w:val="18"/>
          <w:szCs w:val="18"/>
        </w:rPr>
        <w:t>019</w:t>
      </w:r>
      <w:r w:rsidRPr="001503A1">
        <w:rPr>
          <w:rFonts w:ascii="Times New Roman" w:eastAsia="宋体" w:hAnsi="Times New Roman" w:cs="Times New Roman"/>
          <w:color w:val="000000" w:themeColor="text1"/>
          <w:kern w:val="0"/>
          <w:sz w:val="18"/>
          <w:szCs w:val="18"/>
        </w:rPr>
        <w:t>：《新冠疫情下国有企业的经济稳定器作用</w:t>
      </w:r>
      <w:r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color w:val="000000" w:themeColor="text1"/>
          <w:kern w:val="0"/>
          <w:sz w:val="18"/>
          <w:szCs w:val="18"/>
        </w:rPr>
        <w:t>基于供应链扶持的视角》，《经济研究》，第</w:t>
      </w:r>
      <w:r w:rsidRPr="001503A1">
        <w:rPr>
          <w:rFonts w:ascii="Times New Roman" w:eastAsia="宋体" w:hAnsi="Times New Roman" w:cs="Times New Roman"/>
          <w:color w:val="000000" w:themeColor="text1"/>
          <w:kern w:val="0"/>
          <w:sz w:val="18"/>
          <w:szCs w:val="18"/>
        </w:rPr>
        <w:t>3</w:t>
      </w:r>
      <w:r w:rsidRPr="001503A1">
        <w:rPr>
          <w:rFonts w:ascii="Times New Roman" w:eastAsia="宋体" w:hAnsi="Times New Roman" w:cs="Times New Roman"/>
          <w:color w:val="000000" w:themeColor="text1"/>
          <w:kern w:val="0"/>
          <w:sz w:val="18"/>
          <w:szCs w:val="18"/>
        </w:rPr>
        <w:t>期。</w:t>
      </w:r>
    </w:p>
    <w:p w14:paraId="0BEC6887" w14:textId="5279772A" w:rsidR="002E7514" w:rsidRDefault="002E7514" w:rsidP="00EE6C33">
      <w:pPr>
        <w:pStyle w:val="a7"/>
        <w:numPr>
          <w:ilvl w:val="0"/>
          <w:numId w:val="2"/>
        </w:numPr>
        <w:autoSpaceDE w:val="0"/>
        <w:autoSpaceDN w:val="0"/>
        <w:adjustRightInd w:val="0"/>
        <w:ind w:left="442" w:firstLineChars="0" w:hanging="442"/>
        <w:jc w:val="left"/>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Bodory, H., M. Huber, and L. Lafférs. 2022. “</w:t>
      </w:r>
      <w:bookmarkStart w:id="0" w:name="OLE_LINK1"/>
      <w:r w:rsidRPr="001503A1">
        <w:rPr>
          <w:rFonts w:ascii="Times New Roman" w:eastAsia="宋体" w:hAnsi="Times New Roman" w:cs="Times New Roman"/>
          <w:color w:val="000000" w:themeColor="text1"/>
          <w:kern w:val="0"/>
          <w:sz w:val="18"/>
          <w:szCs w:val="18"/>
        </w:rPr>
        <w:t>Evaluating (</w:t>
      </w:r>
      <w:r w:rsidR="00B45BF1" w:rsidRPr="001503A1">
        <w:rPr>
          <w:rFonts w:ascii="Times New Roman" w:eastAsia="宋体" w:hAnsi="Times New Roman" w:cs="Times New Roman" w:hint="eastAsia"/>
          <w:color w:val="000000" w:themeColor="text1"/>
          <w:kern w:val="0"/>
          <w:sz w:val="18"/>
          <w:szCs w:val="18"/>
        </w:rPr>
        <w:t>W</w:t>
      </w:r>
      <w:r w:rsidRPr="001503A1">
        <w:rPr>
          <w:rFonts w:ascii="Times New Roman" w:eastAsia="宋体" w:hAnsi="Times New Roman" w:cs="Times New Roman"/>
          <w:color w:val="000000" w:themeColor="text1"/>
          <w:kern w:val="0"/>
          <w:sz w:val="18"/>
          <w:szCs w:val="18"/>
        </w:rPr>
        <w:t xml:space="preserve">eighted) </w:t>
      </w:r>
      <w:r w:rsidR="00850FBD" w:rsidRPr="001503A1">
        <w:rPr>
          <w:rFonts w:ascii="Times New Roman" w:eastAsia="宋体" w:hAnsi="Times New Roman" w:cs="Times New Roman" w:hint="eastAsia"/>
          <w:color w:val="000000" w:themeColor="text1"/>
          <w:kern w:val="0"/>
          <w:sz w:val="18"/>
          <w:szCs w:val="18"/>
        </w:rPr>
        <w:t>D</w:t>
      </w:r>
      <w:r w:rsidRPr="001503A1">
        <w:rPr>
          <w:rFonts w:ascii="Times New Roman" w:eastAsia="宋体" w:hAnsi="Times New Roman" w:cs="Times New Roman"/>
          <w:color w:val="000000" w:themeColor="text1"/>
          <w:kern w:val="0"/>
          <w:sz w:val="18"/>
          <w:szCs w:val="18"/>
        </w:rPr>
        <w:t xml:space="preserve">ynamic </w:t>
      </w:r>
      <w:r w:rsidR="00850FBD" w:rsidRPr="001503A1">
        <w:rPr>
          <w:rFonts w:ascii="Times New Roman" w:eastAsia="宋体" w:hAnsi="Times New Roman" w:cs="Times New Roman" w:hint="eastAsia"/>
          <w:color w:val="000000" w:themeColor="text1"/>
          <w:kern w:val="0"/>
          <w:sz w:val="18"/>
          <w:szCs w:val="18"/>
        </w:rPr>
        <w:t>T</w:t>
      </w:r>
      <w:r w:rsidRPr="001503A1">
        <w:rPr>
          <w:rFonts w:ascii="Times New Roman" w:eastAsia="宋体" w:hAnsi="Times New Roman" w:cs="Times New Roman"/>
          <w:color w:val="000000" w:themeColor="text1"/>
          <w:kern w:val="0"/>
          <w:sz w:val="18"/>
          <w:szCs w:val="18"/>
        </w:rPr>
        <w:t xml:space="preserve">reatment </w:t>
      </w:r>
      <w:r w:rsidR="00850FBD" w:rsidRPr="001503A1">
        <w:rPr>
          <w:rFonts w:ascii="Times New Roman" w:eastAsia="宋体" w:hAnsi="Times New Roman" w:cs="Times New Roman" w:hint="eastAsia"/>
          <w:color w:val="000000" w:themeColor="text1"/>
          <w:kern w:val="0"/>
          <w:sz w:val="18"/>
          <w:szCs w:val="18"/>
        </w:rPr>
        <w:t>E</w:t>
      </w:r>
      <w:r w:rsidRPr="001503A1">
        <w:rPr>
          <w:rFonts w:ascii="Times New Roman" w:eastAsia="宋体" w:hAnsi="Times New Roman" w:cs="Times New Roman"/>
          <w:color w:val="000000" w:themeColor="text1"/>
          <w:kern w:val="0"/>
          <w:sz w:val="18"/>
          <w:szCs w:val="18"/>
        </w:rPr>
        <w:t xml:space="preserve">ffects by </w:t>
      </w:r>
      <w:r w:rsidR="00850FBD" w:rsidRPr="001503A1">
        <w:rPr>
          <w:rFonts w:ascii="Times New Roman" w:eastAsia="宋体" w:hAnsi="Times New Roman" w:cs="Times New Roman" w:hint="eastAsia"/>
          <w:color w:val="000000" w:themeColor="text1"/>
          <w:kern w:val="0"/>
          <w:sz w:val="18"/>
          <w:szCs w:val="18"/>
        </w:rPr>
        <w:t>D</w:t>
      </w:r>
      <w:r w:rsidRPr="001503A1">
        <w:rPr>
          <w:rFonts w:ascii="Times New Roman" w:eastAsia="宋体" w:hAnsi="Times New Roman" w:cs="Times New Roman"/>
          <w:color w:val="000000" w:themeColor="text1"/>
          <w:kern w:val="0"/>
          <w:sz w:val="18"/>
          <w:szCs w:val="18"/>
        </w:rPr>
        <w:t xml:space="preserve">ouble </w:t>
      </w:r>
      <w:r w:rsidR="00850FBD" w:rsidRPr="001503A1">
        <w:rPr>
          <w:rFonts w:ascii="Times New Roman" w:eastAsia="宋体" w:hAnsi="Times New Roman" w:cs="Times New Roman" w:hint="eastAsia"/>
          <w:color w:val="000000" w:themeColor="text1"/>
          <w:kern w:val="0"/>
          <w:sz w:val="18"/>
          <w:szCs w:val="18"/>
        </w:rPr>
        <w:t>M</w:t>
      </w:r>
      <w:r w:rsidRPr="001503A1">
        <w:rPr>
          <w:rFonts w:ascii="Times New Roman" w:eastAsia="宋体" w:hAnsi="Times New Roman" w:cs="Times New Roman"/>
          <w:color w:val="000000" w:themeColor="text1"/>
          <w:kern w:val="0"/>
          <w:sz w:val="18"/>
          <w:szCs w:val="18"/>
        </w:rPr>
        <w:t xml:space="preserve">achine </w:t>
      </w:r>
      <w:r w:rsidR="00850FBD" w:rsidRPr="001503A1">
        <w:rPr>
          <w:rFonts w:ascii="Times New Roman" w:eastAsia="宋体" w:hAnsi="Times New Roman" w:cs="Times New Roman" w:hint="eastAsia"/>
          <w:color w:val="000000" w:themeColor="text1"/>
          <w:kern w:val="0"/>
          <w:sz w:val="18"/>
          <w:szCs w:val="18"/>
        </w:rPr>
        <w:t>L</w:t>
      </w:r>
      <w:r w:rsidRPr="001503A1">
        <w:rPr>
          <w:rFonts w:ascii="Times New Roman" w:eastAsia="宋体" w:hAnsi="Times New Roman" w:cs="Times New Roman"/>
          <w:color w:val="000000" w:themeColor="text1"/>
          <w:kern w:val="0"/>
          <w:sz w:val="18"/>
          <w:szCs w:val="18"/>
        </w:rPr>
        <w:t>earning</w:t>
      </w:r>
      <w:bookmarkEnd w:id="0"/>
      <w:r w:rsidRPr="001503A1">
        <w:rPr>
          <w:rFonts w:ascii="Times New Roman" w:eastAsia="宋体" w:hAnsi="Times New Roman" w:cs="Times New Roman"/>
          <w:color w:val="000000" w:themeColor="text1"/>
          <w:kern w:val="0"/>
          <w:sz w:val="18"/>
          <w:szCs w:val="18"/>
        </w:rPr>
        <w:t xml:space="preserve">” </w:t>
      </w:r>
      <w:r w:rsidR="00B45BF1" w:rsidRPr="001503A1">
        <w:rPr>
          <w:rFonts w:ascii="Times New Roman" w:eastAsia="宋体" w:hAnsi="Times New Roman" w:cs="Times New Roman" w:hint="eastAsia"/>
          <w:i/>
          <w:iCs/>
          <w:color w:val="000000" w:themeColor="text1"/>
          <w:kern w:val="0"/>
          <w:sz w:val="18"/>
          <w:szCs w:val="18"/>
        </w:rPr>
        <w:t>The Econometrics Journal</w:t>
      </w:r>
      <w:r w:rsidRPr="001503A1">
        <w:rPr>
          <w:rFonts w:ascii="Times New Roman" w:eastAsia="宋体" w:hAnsi="Times New Roman" w:cs="Times New Roman"/>
          <w:color w:val="000000" w:themeColor="text1"/>
          <w:kern w:val="0"/>
          <w:sz w:val="18"/>
          <w:szCs w:val="18"/>
        </w:rPr>
        <w:t xml:space="preserve"> 25(3): 628</w:t>
      </w:r>
      <w:r w:rsidR="00D309CE"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color w:val="000000" w:themeColor="text1"/>
          <w:kern w:val="0"/>
          <w:sz w:val="18"/>
          <w:szCs w:val="18"/>
        </w:rPr>
        <w:t>648.</w:t>
      </w:r>
    </w:p>
    <w:p w14:paraId="7BA534ED" w14:textId="07E954B1" w:rsidR="002E7514" w:rsidRPr="001503A1" w:rsidRDefault="001A124A" w:rsidP="00EE6C33">
      <w:pPr>
        <w:pStyle w:val="a7"/>
        <w:numPr>
          <w:ilvl w:val="0"/>
          <w:numId w:val="2"/>
        </w:numPr>
        <w:autoSpaceDE w:val="0"/>
        <w:autoSpaceDN w:val="0"/>
        <w:adjustRightInd w:val="0"/>
        <w:ind w:left="442" w:firstLineChars="0" w:hanging="442"/>
        <w:jc w:val="left"/>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Nakano, M., and P. Nguyen. 2012. “</w:t>
      </w:r>
      <w:bookmarkStart w:id="1" w:name="OLE_LINK3"/>
      <w:r w:rsidRPr="001503A1">
        <w:rPr>
          <w:rFonts w:ascii="Times New Roman" w:eastAsia="宋体" w:hAnsi="Times New Roman" w:cs="Times New Roman"/>
          <w:color w:val="000000" w:themeColor="text1"/>
          <w:kern w:val="0"/>
          <w:sz w:val="18"/>
          <w:szCs w:val="18"/>
        </w:rPr>
        <w:t xml:space="preserve">Board </w:t>
      </w:r>
      <w:r w:rsidR="00850FBD" w:rsidRPr="001503A1">
        <w:rPr>
          <w:rFonts w:ascii="Times New Roman" w:eastAsia="宋体" w:hAnsi="Times New Roman" w:cs="Times New Roman" w:hint="eastAsia"/>
          <w:color w:val="000000" w:themeColor="text1"/>
          <w:kern w:val="0"/>
          <w:sz w:val="18"/>
          <w:szCs w:val="18"/>
        </w:rPr>
        <w:t>S</w:t>
      </w:r>
      <w:r w:rsidRPr="001503A1">
        <w:rPr>
          <w:rFonts w:ascii="Times New Roman" w:eastAsia="宋体" w:hAnsi="Times New Roman" w:cs="Times New Roman"/>
          <w:color w:val="000000" w:themeColor="text1"/>
          <w:kern w:val="0"/>
          <w:sz w:val="18"/>
          <w:szCs w:val="18"/>
        </w:rPr>
        <w:t xml:space="preserve">ize and </w:t>
      </w:r>
      <w:r w:rsidR="00850FBD" w:rsidRPr="001503A1">
        <w:rPr>
          <w:rFonts w:ascii="Times New Roman" w:eastAsia="宋体" w:hAnsi="Times New Roman" w:cs="Times New Roman" w:hint="eastAsia"/>
          <w:color w:val="000000" w:themeColor="text1"/>
          <w:kern w:val="0"/>
          <w:sz w:val="18"/>
          <w:szCs w:val="18"/>
        </w:rPr>
        <w:t>C</w:t>
      </w:r>
      <w:r w:rsidRPr="001503A1">
        <w:rPr>
          <w:rFonts w:ascii="Times New Roman" w:eastAsia="宋体" w:hAnsi="Times New Roman" w:cs="Times New Roman"/>
          <w:color w:val="000000" w:themeColor="text1"/>
          <w:kern w:val="0"/>
          <w:sz w:val="18"/>
          <w:szCs w:val="18"/>
        </w:rPr>
        <w:t xml:space="preserve">orporate </w:t>
      </w:r>
      <w:r w:rsidR="00850FBD" w:rsidRPr="001503A1">
        <w:rPr>
          <w:rFonts w:ascii="Times New Roman" w:eastAsia="宋体" w:hAnsi="Times New Roman" w:cs="Times New Roman" w:hint="eastAsia"/>
          <w:color w:val="000000" w:themeColor="text1"/>
          <w:kern w:val="0"/>
          <w:sz w:val="18"/>
          <w:szCs w:val="18"/>
        </w:rPr>
        <w:t>R</w:t>
      </w:r>
      <w:r w:rsidRPr="001503A1">
        <w:rPr>
          <w:rFonts w:ascii="Times New Roman" w:eastAsia="宋体" w:hAnsi="Times New Roman" w:cs="Times New Roman"/>
          <w:color w:val="000000" w:themeColor="text1"/>
          <w:kern w:val="0"/>
          <w:sz w:val="18"/>
          <w:szCs w:val="18"/>
        </w:rPr>
        <w:t xml:space="preserve">isk </w:t>
      </w:r>
      <w:r w:rsidR="00850FBD" w:rsidRPr="001503A1">
        <w:rPr>
          <w:rFonts w:ascii="Times New Roman" w:eastAsia="宋体" w:hAnsi="Times New Roman" w:cs="Times New Roman" w:hint="eastAsia"/>
          <w:color w:val="000000" w:themeColor="text1"/>
          <w:kern w:val="0"/>
          <w:sz w:val="18"/>
          <w:szCs w:val="18"/>
        </w:rPr>
        <w:t>T</w:t>
      </w:r>
      <w:r w:rsidRPr="001503A1">
        <w:rPr>
          <w:rFonts w:ascii="Times New Roman" w:eastAsia="宋体" w:hAnsi="Times New Roman" w:cs="Times New Roman"/>
          <w:color w:val="000000" w:themeColor="text1"/>
          <w:kern w:val="0"/>
          <w:sz w:val="18"/>
          <w:szCs w:val="18"/>
        </w:rPr>
        <w:t xml:space="preserve">aking: </w:t>
      </w:r>
      <w:r w:rsidR="00850FBD" w:rsidRPr="001503A1">
        <w:rPr>
          <w:rFonts w:ascii="Times New Roman" w:eastAsia="宋体" w:hAnsi="Times New Roman" w:cs="Times New Roman" w:hint="eastAsia"/>
          <w:color w:val="000000" w:themeColor="text1"/>
          <w:kern w:val="0"/>
          <w:sz w:val="18"/>
          <w:szCs w:val="18"/>
        </w:rPr>
        <w:t>F</w:t>
      </w:r>
      <w:r w:rsidRPr="001503A1">
        <w:rPr>
          <w:rFonts w:ascii="Times New Roman" w:eastAsia="宋体" w:hAnsi="Times New Roman" w:cs="Times New Roman"/>
          <w:color w:val="000000" w:themeColor="text1"/>
          <w:kern w:val="0"/>
          <w:sz w:val="18"/>
          <w:szCs w:val="18"/>
        </w:rPr>
        <w:t xml:space="preserve">urther </w:t>
      </w:r>
      <w:r w:rsidR="00850FBD" w:rsidRPr="001503A1">
        <w:rPr>
          <w:rFonts w:ascii="Times New Roman" w:eastAsia="宋体" w:hAnsi="Times New Roman" w:cs="Times New Roman" w:hint="eastAsia"/>
          <w:color w:val="000000" w:themeColor="text1"/>
          <w:kern w:val="0"/>
          <w:sz w:val="18"/>
          <w:szCs w:val="18"/>
        </w:rPr>
        <w:t>E</w:t>
      </w:r>
      <w:r w:rsidRPr="001503A1">
        <w:rPr>
          <w:rFonts w:ascii="Times New Roman" w:eastAsia="宋体" w:hAnsi="Times New Roman" w:cs="Times New Roman"/>
          <w:color w:val="000000" w:themeColor="text1"/>
          <w:kern w:val="0"/>
          <w:sz w:val="18"/>
          <w:szCs w:val="18"/>
        </w:rPr>
        <w:t xml:space="preserve">vidence from </w:t>
      </w:r>
      <w:r w:rsidR="00EE6C33" w:rsidRPr="001503A1">
        <w:rPr>
          <w:rFonts w:ascii="Times New Roman" w:eastAsia="宋体" w:hAnsi="Times New Roman" w:cs="Times New Roman" w:hint="eastAsia"/>
          <w:color w:val="000000" w:themeColor="text1"/>
          <w:kern w:val="0"/>
          <w:sz w:val="18"/>
          <w:szCs w:val="18"/>
        </w:rPr>
        <w:t>J</w:t>
      </w:r>
      <w:r w:rsidRPr="001503A1">
        <w:rPr>
          <w:rFonts w:ascii="Times New Roman" w:eastAsia="宋体" w:hAnsi="Times New Roman" w:cs="Times New Roman"/>
          <w:color w:val="000000" w:themeColor="text1"/>
          <w:kern w:val="0"/>
          <w:sz w:val="18"/>
          <w:szCs w:val="18"/>
        </w:rPr>
        <w:t>apan</w:t>
      </w:r>
      <w:bookmarkEnd w:id="1"/>
      <w:r w:rsidRPr="001503A1">
        <w:rPr>
          <w:rFonts w:ascii="Times New Roman" w:eastAsia="宋体" w:hAnsi="Times New Roman" w:cs="Times New Roman"/>
          <w:color w:val="000000" w:themeColor="text1"/>
          <w:kern w:val="0"/>
          <w:sz w:val="18"/>
          <w:szCs w:val="18"/>
        </w:rPr>
        <w:t xml:space="preserve">” </w:t>
      </w:r>
      <w:r w:rsidR="002526AD" w:rsidRPr="001503A1">
        <w:rPr>
          <w:rFonts w:ascii="Times New Roman" w:eastAsia="宋体" w:hAnsi="Times New Roman" w:cs="Times New Roman" w:hint="eastAsia"/>
          <w:i/>
          <w:iCs/>
          <w:color w:val="000000" w:themeColor="text1"/>
          <w:kern w:val="0"/>
          <w:sz w:val="18"/>
          <w:szCs w:val="18"/>
        </w:rPr>
        <w:t>Corporate Governance: An International Review</w:t>
      </w:r>
      <w:r w:rsidRPr="001503A1">
        <w:rPr>
          <w:rFonts w:ascii="Times New Roman" w:eastAsia="宋体" w:hAnsi="Times New Roman" w:cs="Times New Roman"/>
          <w:color w:val="000000" w:themeColor="text1"/>
          <w:kern w:val="0"/>
          <w:sz w:val="18"/>
          <w:szCs w:val="18"/>
        </w:rPr>
        <w:t xml:space="preserve"> 20(4): 369</w:t>
      </w:r>
      <w:r w:rsidR="00D309CE"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color w:val="000000" w:themeColor="text1"/>
          <w:kern w:val="0"/>
          <w:sz w:val="18"/>
          <w:szCs w:val="18"/>
        </w:rPr>
        <w:t>387.</w:t>
      </w:r>
    </w:p>
    <w:p w14:paraId="07712D62" w14:textId="6279A8CD" w:rsidR="00D30F26" w:rsidRPr="001503A1" w:rsidRDefault="00D30F26" w:rsidP="00EE6C33">
      <w:pPr>
        <w:pStyle w:val="a7"/>
        <w:numPr>
          <w:ilvl w:val="0"/>
          <w:numId w:val="2"/>
        </w:numPr>
        <w:autoSpaceDE w:val="0"/>
        <w:autoSpaceDN w:val="0"/>
        <w:adjustRightInd w:val="0"/>
        <w:ind w:left="442" w:firstLineChars="0" w:hanging="442"/>
        <w:jc w:val="left"/>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lang w:val="de-DE"/>
        </w:rPr>
        <w:t xml:space="preserve">Lu, Y., J. Wang, and L. Zhu. 2019. </w:t>
      </w:r>
      <w:r w:rsidRPr="001503A1">
        <w:rPr>
          <w:rFonts w:ascii="Times New Roman" w:eastAsia="宋体" w:hAnsi="Times New Roman" w:cs="Times New Roman"/>
          <w:color w:val="000000" w:themeColor="text1"/>
          <w:kern w:val="0"/>
          <w:sz w:val="18"/>
          <w:szCs w:val="18"/>
        </w:rPr>
        <w:t>“</w:t>
      </w:r>
      <w:bookmarkStart w:id="2" w:name="OLE_LINK2"/>
      <w:r w:rsidRPr="001503A1">
        <w:rPr>
          <w:rFonts w:ascii="Times New Roman" w:eastAsia="宋体" w:hAnsi="Times New Roman" w:cs="Times New Roman"/>
          <w:color w:val="000000" w:themeColor="text1"/>
          <w:kern w:val="0"/>
          <w:sz w:val="18"/>
          <w:szCs w:val="18"/>
        </w:rPr>
        <w:t>Place-</w:t>
      </w:r>
      <w:r w:rsidR="00B26CBC" w:rsidRPr="001503A1">
        <w:rPr>
          <w:rFonts w:ascii="Times New Roman" w:eastAsia="宋体" w:hAnsi="Times New Roman" w:cs="Times New Roman" w:hint="eastAsia"/>
          <w:color w:val="000000" w:themeColor="text1"/>
          <w:kern w:val="0"/>
          <w:sz w:val="18"/>
          <w:szCs w:val="18"/>
        </w:rPr>
        <w:t>B</w:t>
      </w:r>
      <w:r w:rsidRPr="001503A1">
        <w:rPr>
          <w:rFonts w:ascii="Times New Roman" w:eastAsia="宋体" w:hAnsi="Times New Roman" w:cs="Times New Roman"/>
          <w:color w:val="000000" w:themeColor="text1"/>
          <w:kern w:val="0"/>
          <w:sz w:val="18"/>
          <w:szCs w:val="18"/>
        </w:rPr>
        <w:t xml:space="preserve">ased </w:t>
      </w:r>
      <w:r w:rsidR="00CF620C" w:rsidRPr="001503A1">
        <w:rPr>
          <w:rFonts w:ascii="Times New Roman" w:eastAsia="宋体" w:hAnsi="Times New Roman" w:cs="Times New Roman" w:hint="eastAsia"/>
          <w:color w:val="000000" w:themeColor="text1"/>
          <w:kern w:val="0"/>
          <w:sz w:val="18"/>
          <w:szCs w:val="18"/>
        </w:rPr>
        <w:t>P</w:t>
      </w:r>
      <w:r w:rsidRPr="001503A1">
        <w:rPr>
          <w:rFonts w:ascii="Times New Roman" w:eastAsia="宋体" w:hAnsi="Times New Roman" w:cs="Times New Roman"/>
          <w:color w:val="000000" w:themeColor="text1"/>
          <w:kern w:val="0"/>
          <w:sz w:val="18"/>
          <w:szCs w:val="18"/>
        </w:rPr>
        <w:t xml:space="preserve">olicies, </w:t>
      </w:r>
      <w:r w:rsidR="00CF620C" w:rsidRPr="001503A1">
        <w:rPr>
          <w:rFonts w:ascii="Times New Roman" w:eastAsia="宋体" w:hAnsi="Times New Roman" w:cs="Times New Roman" w:hint="eastAsia"/>
          <w:color w:val="000000" w:themeColor="text1"/>
          <w:kern w:val="0"/>
          <w:sz w:val="18"/>
          <w:szCs w:val="18"/>
        </w:rPr>
        <w:t>C</w:t>
      </w:r>
      <w:r w:rsidRPr="001503A1">
        <w:rPr>
          <w:rFonts w:ascii="Times New Roman" w:eastAsia="宋体" w:hAnsi="Times New Roman" w:cs="Times New Roman"/>
          <w:color w:val="000000" w:themeColor="text1"/>
          <w:kern w:val="0"/>
          <w:sz w:val="18"/>
          <w:szCs w:val="18"/>
        </w:rPr>
        <w:t xml:space="preserve">reation, and </w:t>
      </w:r>
      <w:r w:rsidR="00CF620C" w:rsidRPr="001503A1">
        <w:rPr>
          <w:rFonts w:ascii="Times New Roman" w:eastAsia="宋体" w:hAnsi="Times New Roman" w:cs="Times New Roman" w:hint="eastAsia"/>
          <w:color w:val="000000" w:themeColor="text1"/>
          <w:kern w:val="0"/>
          <w:sz w:val="18"/>
          <w:szCs w:val="18"/>
        </w:rPr>
        <w:t>A</w:t>
      </w:r>
      <w:r w:rsidRPr="001503A1">
        <w:rPr>
          <w:rFonts w:ascii="Times New Roman" w:eastAsia="宋体" w:hAnsi="Times New Roman" w:cs="Times New Roman"/>
          <w:color w:val="000000" w:themeColor="text1"/>
          <w:kern w:val="0"/>
          <w:sz w:val="18"/>
          <w:szCs w:val="18"/>
        </w:rPr>
        <w:t xml:space="preserve">gglomeration </w:t>
      </w:r>
      <w:r w:rsidR="00CF620C" w:rsidRPr="001503A1">
        <w:rPr>
          <w:rFonts w:ascii="Times New Roman" w:eastAsia="宋体" w:hAnsi="Times New Roman" w:cs="Times New Roman" w:hint="eastAsia"/>
          <w:color w:val="000000" w:themeColor="text1"/>
          <w:kern w:val="0"/>
          <w:sz w:val="18"/>
          <w:szCs w:val="18"/>
        </w:rPr>
        <w:t>E</w:t>
      </w:r>
      <w:r w:rsidRPr="001503A1">
        <w:rPr>
          <w:rFonts w:ascii="Times New Roman" w:eastAsia="宋体" w:hAnsi="Times New Roman" w:cs="Times New Roman"/>
          <w:color w:val="000000" w:themeColor="text1"/>
          <w:kern w:val="0"/>
          <w:sz w:val="18"/>
          <w:szCs w:val="18"/>
        </w:rPr>
        <w:t xml:space="preserve">conomies: </w:t>
      </w:r>
      <w:r w:rsidR="00CF620C" w:rsidRPr="001503A1">
        <w:rPr>
          <w:rFonts w:ascii="Times New Roman" w:eastAsia="宋体" w:hAnsi="Times New Roman" w:cs="Times New Roman" w:hint="eastAsia"/>
          <w:color w:val="000000" w:themeColor="text1"/>
          <w:kern w:val="0"/>
          <w:sz w:val="18"/>
          <w:szCs w:val="18"/>
        </w:rPr>
        <w:t>E</w:t>
      </w:r>
      <w:r w:rsidRPr="001503A1">
        <w:rPr>
          <w:rFonts w:ascii="Times New Roman" w:eastAsia="宋体" w:hAnsi="Times New Roman" w:cs="Times New Roman"/>
          <w:color w:val="000000" w:themeColor="text1"/>
          <w:kern w:val="0"/>
          <w:sz w:val="18"/>
          <w:szCs w:val="18"/>
        </w:rPr>
        <w:t xml:space="preserve">vidence from </w:t>
      </w:r>
      <w:r w:rsidR="00EE6C33" w:rsidRPr="001503A1">
        <w:rPr>
          <w:rFonts w:ascii="Times New Roman" w:eastAsia="宋体" w:hAnsi="Times New Roman" w:cs="Times New Roman" w:hint="eastAsia"/>
          <w:color w:val="000000" w:themeColor="text1"/>
          <w:kern w:val="0"/>
          <w:sz w:val="18"/>
          <w:szCs w:val="18"/>
        </w:rPr>
        <w:t>C</w:t>
      </w:r>
      <w:r w:rsidRPr="001503A1">
        <w:rPr>
          <w:rFonts w:ascii="Times New Roman" w:eastAsia="宋体" w:hAnsi="Times New Roman" w:cs="Times New Roman"/>
          <w:color w:val="000000" w:themeColor="text1"/>
          <w:kern w:val="0"/>
          <w:sz w:val="18"/>
          <w:szCs w:val="18"/>
        </w:rPr>
        <w:t>hina</w:t>
      </w:r>
      <w:r w:rsidR="00EE6C33" w:rsidRPr="001503A1">
        <w:rPr>
          <w:rFonts w:ascii="Times New Roman" w:eastAsia="宋体" w:hAnsi="Times New Roman" w:cs="Times New Roman"/>
          <w:color w:val="000000" w:themeColor="text1"/>
          <w:kern w:val="0"/>
          <w:sz w:val="18"/>
          <w:szCs w:val="18"/>
        </w:rPr>
        <w:t>’</w:t>
      </w:r>
      <w:r w:rsidRPr="001503A1">
        <w:rPr>
          <w:rFonts w:ascii="Times New Roman" w:eastAsia="宋体" w:hAnsi="Times New Roman" w:cs="Times New Roman"/>
          <w:color w:val="000000" w:themeColor="text1"/>
          <w:kern w:val="0"/>
          <w:sz w:val="18"/>
          <w:szCs w:val="18"/>
        </w:rPr>
        <w:t xml:space="preserve">s </w:t>
      </w:r>
      <w:r w:rsidR="00CF620C" w:rsidRPr="001503A1">
        <w:rPr>
          <w:rFonts w:ascii="Times New Roman" w:eastAsia="宋体" w:hAnsi="Times New Roman" w:cs="Times New Roman" w:hint="eastAsia"/>
          <w:color w:val="000000" w:themeColor="text1"/>
          <w:kern w:val="0"/>
          <w:sz w:val="18"/>
          <w:szCs w:val="18"/>
        </w:rPr>
        <w:t>E</w:t>
      </w:r>
      <w:r w:rsidRPr="001503A1">
        <w:rPr>
          <w:rFonts w:ascii="Times New Roman" w:eastAsia="宋体" w:hAnsi="Times New Roman" w:cs="Times New Roman"/>
          <w:color w:val="000000" w:themeColor="text1"/>
          <w:kern w:val="0"/>
          <w:sz w:val="18"/>
          <w:szCs w:val="18"/>
        </w:rPr>
        <w:t xml:space="preserve">conomic </w:t>
      </w:r>
      <w:r w:rsidR="00CF620C" w:rsidRPr="001503A1">
        <w:rPr>
          <w:rFonts w:ascii="Times New Roman" w:eastAsia="宋体" w:hAnsi="Times New Roman" w:cs="Times New Roman" w:hint="eastAsia"/>
          <w:color w:val="000000" w:themeColor="text1"/>
          <w:kern w:val="0"/>
          <w:sz w:val="18"/>
          <w:szCs w:val="18"/>
        </w:rPr>
        <w:t>Z</w:t>
      </w:r>
      <w:r w:rsidRPr="001503A1">
        <w:rPr>
          <w:rFonts w:ascii="Times New Roman" w:eastAsia="宋体" w:hAnsi="Times New Roman" w:cs="Times New Roman"/>
          <w:color w:val="000000" w:themeColor="text1"/>
          <w:kern w:val="0"/>
          <w:sz w:val="18"/>
          <w:szCs w:val="18"/>
        </w:rPr>
        <w:t xml:space="preserve">one </w:t>
      </w:r>
      <w:r w:rsidR="00CF620C" w:rsidRPr="001503A1">
        <w:rPr>
          <w:rFonts w:ascii="Times New Roman" w:eastAsia="宋体" w:hAnsi="Times New Roman" w:cs="Times New Roman" w:hint="eastAsia"/>
          <w:color w:val="000000" w:themeColor="text1"/>
          <w:kern w:val="0"/>
          <w:sz w:val="18"/>
          <w:szCs w:val="18"/>
        </w:rPr>
        <w:t>P</w:t>
      </w:r>
      <w:r w:rsidRPr="001503A1">
        <w:rPr>
          <w:rFonts w:ascii="Times New Roman" w:eastAsia="宋体" w:hAnsi="Times New Roman" w:cs="Times New Roman"/>
          <w:color w:val="000000" w:themeColor="text1"/>
          <w:kern w:val="0"/>
          <w:sz w:val="18"/>
          <w:szCs w:val="18"/>
        </w:rPr>
        <w:t>rogram</w:t>
      </w:r>
      <w:bookmarkEnd w:id="2"/>
      <w:r w:rsidRPr="001503A1">
        <w:rPr>
          <w:rFonts w:ascii="Times New Roman" w:eastAsia="宋体" w:hAnsi="Times New Roman" w:cs="Times New Roman"/>
          <w:color w:val="000000" w:themeColor="text1"/>
          <w:kern w:val="0"/>
          <w:sz w:val="18"/>
          <w:szCs w:val="18"/>
        </w:rPr>
        <w:t xml:space="preserve">” </w:t>
      </w:r>
      <w:r w:rsidRPr="001503A1">
        <w:rPr>
          <w:rFonts w:ascii="Times New Roman" w:eastAsia="宋体" w:hAnsi="Times New Roman" w:cs="Times New Roman"/>
          <w:i/>
          <w:iCs/>
          <w:color w:val="000000" w:themeColor="text1"/>
          <w:kern w:val="0"/>
          <w:sz w:val="18"/>
          <w:szCs w:val="18"/>
        </w:rPr>
        <w:t>American Economic Journal: Economic Policy</w:t>
      </w:r>
      <w:r w:rsidRPr="001503A1">
        <w:rPr>
          <w:rFonts w:ascii="Times New Roman" w:eastAsia="宋体" w:hAnsi="Times New Roman" w:cs="Times New Roman"/>
          <w:color w:val="000000" w:themeColor="text1"/>
          <w:kern w:val="0"/>
          <w:sz w:val="18"/>
          <w:szCs w:val="18"/>
        </w:rPr>
        <w:t xml:space="preserve"> 11(3): 325</w:t>
      </w:r>
      <w:r w:rsidR="00D309CE"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color w:val="000000" w:themeColor="text1"/>
          <w:kern w:val="0"/>
          <w:sz w:val="18"/>
          <w:szCs w:val="18"/>
        </w:rPr>
        <w:t>360.</w:t>
      </w:r>
    </w:p>
    <w:p w14:paraId="22BD0B5E" w14:textId="3FAA9093" w:rsidR="0019113D" w:rsidRPr="001503A1" w:rsidRDefault="0019113D" w:rsidP="00EE6C33">
      <w:pPr>
        <w:pStyle w:val="a7"/>
        <w:numPr>
          <w:ilvl w:val="0"/>
          <w:numId w:val="2"/>
        </w:numPr>
        <w:autoSpaceDE w:val="0"/>
        <w:autoSpaceDN w:val="0"/>
        <w:adjustRightInd w:val="0"/>
        <w:ind w:left="442" w:firstLineChars="0" w:hanging="442"/>
        <w:jc w:val="left"/>
        <w:rPr>
          <w:rFonts w:ascii="Times New Roman" w:eastAsia="宋体" w:hAnsi="Times New Roman" w:cs="Times New Roman"/>
          <w:color w:val="000000" w:themeColor="text1"/>
          <w:kern w:val="0"/>
          <w:sz w:val="18"/>
          <w:szCs w:val="18"/>
        </w:rPr>
      </w:pPr>
      <w:r w:rsidRPr="001503A1">
        <w:rPr>
          <w:rFonts w:ascii="Times New Roman" w:eastAsia="宋体" w:hAnsi="Times New Roman" w:cs="Times New Roman"/>
          <w:color w:val="000000" w:themeColor="text1"/>
          <w:kern w:val="0"/>
          <w:sz w:val="18"/>
          <w:szCs w:val="18"/>
        </w:rPr>
        <w:t xml:space="preserve">Moser, P., and A. Voena. 2012. “Compulsory </w:t>
      </w:r>
      <w:r w:rsidR="00CF620C" w:rsidRPr="001503A1">
        <w:rPr>
          <w:rFonts w:ascii="Times New Roman" w:eastAsia="宋体" w:hAnsi="Times New Roman" w:cs="Times New Roman" w:hint="eastAsia"/>
          <w:color w:val="000000" w:themeColor="text1"/>
          <w:kern w:val="0"/>
          <w:sz w:val="18"/>
          <w:szCs w:val="18"/>
        </w:rPr>
        <w:t>L</w:t>
      </w:r>
      <w:r w:rsidRPr="001503A1">
        <w:rPr>
          <w:rFonts w:ascii="Times New Roman" w:eastAsia="宋体" w:hAnsi="Times New Roman" w:cs="Times New Roman"/>
          <w:color w:val="000000" w:themeColor="text1"/>
          <w:kern w:val="0"/>
          <w:sz w:val="18"/>
          <w:szCs w:val="18"/>
        </w:rPr>
        <w:t xml:space="preserve">icensing: </w:t>
      </w:r>
      <w:r w:rsidR="00CF620C" w:rsidRPr="001503A1">
        <w:rPr>
          <w:rFonts w:ascii="Times New Roman" w:eastAsia="宋体" w:hAnsi="Times New Roman" w:cs="Times New Roman" w:hint="eastAsia"/>
          <w:color w:val="000000" w:themeColor="text1"/>
          <w:kern w:val="0"/>
          <w:sz w:val="18"/>
          <w:szCs w:val="18"/>
        </w:rPr>
        <w:t>E</w:t>
      </w:r>
      <w:r w:rsidRPr="001503A1">
        <w:rPr>
          <w:rFonts w:ascii="Times New Roman" w:eastAsia="宋体" w:hAnsi="Times New Roman" w:cs="Times New Roman"/>
          <w:color w:val="000000" w:themeColor="text1"/>
          <w:kern w:val="0"/>
          <w:sz w:val="18"/>
          <w:szCs w:val="18"/>
        </w:rPr>
        <w:t xml:space="preserve">vidence from the </w:t>
      </w:r>
      <w:r w:rsidR="00CF620C" w:rsidRPr="001503A1">
        <w:rPr>
          <w:rFonts w:ascii="Times New Roman" w:eastAsia="宋体" w:hAnsi="Times New Roman" w:cs="Times New Roman" w:hint="eastAsia"/>
          <w:color w:val="000000" w:themeColor="text1"/>
          <w:kern w:val="0"/>
          <w:sz w:val="18"/>
          <w:szCs w:val="18"/>
        </w:rPr>
        <w:t>T</w:t>
      </w:r>
      <w:r w:rsidRPr="001503A1">
        <w:rPr>
          <w:rFonts w:ascii="Times New Roman" w:eastAsia="宋体" w:hAnsi="Times New Roman" w:cs="Times New Roman"/>
          <w:color w:val="000000" w:themeColor="text1"/>
          <w:kern w:val="0"/>
          <w:sz w:val="18"/>
          <w:szCs w:val="18"/>
        </w:rPr>
        <w:t xml:space="preserve">rading with the </w:t>
      </w:r>
      <w:r w:rsidR="00CF620C" w:rsidRPr="001503A1">
        <w:rPr>
          <w:rFonts w:ascii="Times New Roman" w:eastAsia="宋体" w:hAnsi="Times New Roman" w:cs="Times New Roman" w:hint="eastAsia"/>
          <w:color w:val="000000" w:themeColor="text1"/>
          <w:kern w:val="0"/>
          <w:sz w:val="18"/>
          <w:szCs w:val="18"/>
        </w:rPr>
        <w:t>E</w:t>
      </w:r>
      <w:r w:rsidRPr="001503A1">
        <w:rPr>
          <w:rFonts w:ascii="Times New Roman" w:eastAsia="宋体" w:hAnsi="Times New Roman" w:cs="Times New Roman"/>
          <w:color w:val="000000" w:themeColor="text1"/>
          <w:kern w:val="0"/>
          <w:sz w:val="18"/>
          <w:szCs w:val="18"/>
        </w:rPr>
        <w:t xml:space="preserve">nemy </w:t>
      </w:r>
      <w:r w:rsidR="00CF620C" w:rsidRPr="001503A1">
        <w:rPr>
          <w:rFonts w:ascii="Times New Roman" w:eastAsia="宋体" w:hAnsi="Times New Roman" w:cs="Times New Roman" w:hint="eastAsia"/>
          <w:color w:val="000000" w:themeColor="text1"/>
          <w:kern w:val="0"/>
          <w:sz w:val="18"/>
          <w:szCs w:val="18"/>
        </w:rPr>
        <w:t>A</w:t>
      </w:r>
      <w:r w:rsidRPr="001503A1">
        <w:rPr>
          <w:rFonts w:ascii="Times New Roman" w:eastAsia="宋体" w:hAnsi="Times New Roman" w:cs="Times New Roman"/>
          <w:color w:val="000000" w:themeColor="text1"/>
          <w:kern w:val="0"/>
          <w:sz w:val="18"/>
          <w:szCs w:val="18"/>
        </w:rPr>
        <w:t xml:space="preserve">ct” </w:t>
      </w:r>
      <w:r w:rsidRPr="001503A1">
        <w:rPr>
          <w:rFonts w:ascii="Times New Roman" w:eastAsia="宋体" w:hAnsi="Times New Roman" w:cs="Times New Roman"/>
          <w:i/>
          <w:iCs/>
          <w:color w:val="000000" w:themeColor="text1"/>
          <w:kern w:val="0"/>
          <w:sz w:val="18"/>
          <w:szCs w:val="18"/>
        </w:rPr>
        <w:t>American Economic Review</w:t>
      </w:r>
      <w:r w:rsidRPr="001503A1">
        <w:rPr>
          <w:rFonts w:ascii="Times New Roman" w:eastAsia="宋体" w:hAnsi="Times New Roman" w:cs="Times New Roman"/>
          <w:color w:val="000000" w:themeColor="text1"/>
          <w:kern w:val="0"/>
          <w:sz w:val="18"/>
          <w:szCs w:val="18"/>
        </w:rPr>
        <w:t xml:space="preserve"> 102(1): 396</w:t>
      </w:r>
      <w:r w:rsidR="00D309CE" w:rsidRPr="001503A1">
        <w:rPr>
          <w:rFonts w:ascii="Times New Roman" w:eastAsia="宋体" w:hAnsi="Times New Roman" w:cs="Times New Roman" w:hint="eastAsia"/>
          <w:color w:val="000000" w:themeColor="text1"/>
          <w:kern w:val="0"/>
          <w:sz w:val="18"/>
          <w:szCs w:val="18"/>
        </w:rPr>
        <w:t>-</w:t>
      </w:r>
      <w:r w:rsidRPr="001503A1">
        <w:rPr>
          <w:rFonts w:ascii="Times New Roman" w:eastAsia="宋体" w:hAnsi="Times New Roman" w:cs="Times New Roman"/>
          <w:color w:val="000000" w:themeColor="text1"/>
          <w:kern w:val="0"/>
          <w:sz w:val="18"/>
          <w:szCs w:val="18"/>
        </w:rPr>
        <w:t>427.</w:t>
      </w:r>
    </w:p>
    <w:p w14:paraId="605247A1" w14:textId="77777777" w:rsidR="003303F3" w:rsidRPr="001503A1" w:rsidRDefault="003303F3" w:rsidP="00EE6C33">
      <w:pPr>
        <w:ind w:left="442" w:hanging="442"/>
        <w:rPr>
          <w:rFonts w:hint="eastAsia"/>
          <w:color w:val="000000" w:themeColor="text1"/>
        </w:rPr>
      </w:pPr>
    </w:p>
    <w:sectPr w:rsidR="003303F3" w:rsidRPr="001503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98A49" w14:textId="77777777" w:rsidR="0028680D" w:rsidRDefault="0028680D" w:rsidP="003303F3">
      <w:pPr>
        <w:rPr>
          <w:rFonts w:hint="eastAsia"/>
        </w:rPr>
      </w:pPr>
      <w:r>
        <w:separator/>
      </w:r>
    </w:p>
  </w:endnote>
  <w:endnote w:type="continuationSeparator" w:id="0">
    <w:p w14:paraId="58FF031F" w14:textId="77777777" w:rsidR="0028680D" w:rsidRDefault="0028680D" w:rsidP="003303F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1855D" w14:textId="77777777" w:rsidR="0028680D" w:rsidRDefault="0028680D" w:rsidP="003303F3">
      <w:pPr>
        <w:rPr>
          <w:rFonts w:hint="eastAsia"/>
        </w:rPr>
      </w:pPr>
      <w:r>
        <w:separator/>
      </w:r>
    </w:p>
  </w:footnote>
  <w:footnote w:type="continuationSeparator" w:id="0">
    <w:p w14:paraId="245ED544" w14:textId="77777777" w:rsidR="0028680D" w:rsidRDefault="0028680D" w:rsidP="003303F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2F1B2B"/>
    <w:multiLevelType w:val="hybridMultilevel"/>
    <w:tmpl w:val="28CC7F78"/>
    <w:lvl w:ilvl="0" w:tplc="230C0FFA">
      <w:start w:val="1"/>
      <w:numFmt w:val="decimal"/>
      <w:suff w:val="space"/>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A5C643C"/>
    <w:multiLevelType w:val="hybridMultilevel"/>
    <w:tmpl w:val="787C8DCA"/>
    <w:lvl w:ilvl="0" w:tplc="DDFC8A02">
      <w:start w:val="1"/>
      <w:numFmt w:val="decimal"/>
      <w:suff w:val="space"/>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97960820">
    <w:abstractNumId w:val="0"/>
  </w:num>
  <w:num w:numId="2" w16cid:durableId="1668556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0C4"/>
    <w:rsid w:val="00030B08"/>
    <w:rsid w:val="000378C5"/>
    <w:rsid w:val="000556FA"/>
    <w:rsid w:val="000D6B28"/>
    <w:rsid w:val="001110C5"/>
    <w:rsid w:val="0012705E"/>
    <w:rsid w:val="001476EC"/>
    <w:rsid w:val="001503A1"/>
    <w:rsid w:val="001708E7"/>
    <w:rsid w:val="0019113D"/>
    <w:rsid w:val="0019544D"/>
    <w:rsid w:val="001A124A"/>
    <w:rsid w:val="001E4133"/>
    <w:rsid w:val="002164A7"/>
    <w:rsid w:val="002354D6"/>
    <w:rsid w:val="002460A0"/>
    <w:rsid w:val="002526AD"/>
    <w:rsid w:val="00253B34"/>
    <w:rsid w:val="002808E7"/>
    <w:rsid w:val="0028680D"/>
    <w:rsid w:val="00287840"/>
    <w:rsid w:val="002930C4"/>
    <w:rsid w:val="00297110"/>
    <w:rsid w:val="002B36B7"/>
    <w:rsid w:val="002E7514"/>
    <w:rsid w:val="00313AE4"/>
    <w:rsid w:val="00314777"/>
    <w:rsid w:val="003303F3"/>
    <w:rsid w:val="00335D82"/>
    <w:rsid w:val="00365960"/>
    <w:rsid w:val="00393623"/>
    <w:rsid w:val="004275C7"/>
    <w:rsid w:val="004A3FC4"/>
    <w:rsid w:val="004B0735"/>
    <w:rsid w:val="004B394F"/>
    <w:rsid w:val="004B56A9"/>
    <w:rsid w:val="004C2CB0"/>
    <w:rsid w:val="004C3254"/>
    <w:rsid w:val="004D45E6"/>
    <w:rsid w:val="004F0A83"/>
    <w:rsid w:val="00541758"/>
    <w:rsid w:val="005913AA"/>
    <w:rsid w:val="005C7B1F"/>
    <w:rsid w:val="005E0B29"/>
    <w:rsid w:val="00612EC3"/>
    <w:rsid w:val="006246BA"/>
    <w:rsid w:val="00624AEC"/>
    <w:rsid w:val="00646DF9"/>
    <w:rsid w:val="00651E89"/>
    <w:rsid w:val="00675270"/>
    <w:rsid w:val="00677B03"/>
    <w:rsid w:val="006D387C"/>
    <w:rsid w:val="006E53A9"/>
    <w:rsid w:val="007063CC"/>
    <w:rsid w:val="007068A1"/>
    <w:rsid w:val="00712547"/>
    <w:rsid w:val="00755EE7"/>
    <w:rsid w:val="00762166"/>
    <w:rsid w:val="00795373"/>
    <w:rsid w:val="007D79CD"/>
    <w:rsid w:val="007E26FB"/>
    <w:rsid w:val="008057FC"/>
    <w:rsid w:val="00813817"/>
    <w:rsid w:val="00822B84"/>
    <w:rsid w:val="00830BB0"/>
    <w:rsid w:val="00850FBD"/>
    <w:rsid w:val="00856E26"/>
    <w:rsid w:val="00881459"/>
    <w:rsid w:val="00894251"/>
    <w:rsid w:val="008A5F5E"/>
    <w:rsid w:val="008E3E73"/>
    <w:rsid w:val="008E6D42"/>
    <w:rsid w:val="008F0976"/>
    <w:rsid w:val="00900311"/>
    <w:rsid w:val="009224C6"/>
    <w:rsid w:val="0097791C"/>
    <w:rsid w:val="00991642"/>
    <w:rsid w:val="009E0C8D"/>
    <w:rsid w:val="00A84C95"/>
    <w:rsid w:val="00AF5CD8"/>
    <w:rsid w:val="00B25BE4"/>
    <w:rsid w:val="00B26CBC"/>
    <w:rsid w:val="00B45BF1"/>
    <w:rsid w:val="00B80A9E"/>
    <w:rsid w:val="00B91FC2"/>
    <w:rsid w:val="00BA3DD9"/>
    <w:rsid w:val="00C47FDB"/>
    <w:rsid w:val="00C6146D"/>
    <w:rsid w:val="00C721E7"/>
    <w:rsid w:val="00CA25F7"/>
    <w:rsid w:val="00CB3CF8"/>
    <w:rsid w:val="00CB4C5F"/>
    <w:rsid w:val="00CE1DA4"/>
    <w:rsid w:val="00CF620C"/>
    <w:rsid w:val="00D01F43"/>
    <w:rsid w:val="00D309CE"/>
    <w:rsid w:val="00D30F26"/>
    <w:rsid w:val="00D57B09"/>
    <w:rsid w:val="00D745B6"/>
    <w:rsid w:val="00D84F98"/>
    <w:rsid w:val="00DA15E0"/>
    <w:rsid w:val="00DC400E"/>
    <w:rsid w:val="00DD13E1"/>
    <w:rsid w:val="00DF39BA"/>
    <w:rsid w:val="00E25EE9"/>
    <w:rsid w:val="00E33291"/>
    <w:rsid w:val="00E62199"/>
    <w:rsid w:val="00E83678"/>
    <w:rsid w:val="00EE6C33"/>
    <w:rsid w:val="00F12567"/>
    <w:rsid w:val="00F33265"/>
    <w:rsid w:val="00F769F8"/>
    <w:rsid w:val="00FA266E"/>
    <w:rsid w:val="00FC76D0"/>
    <w:rsid w:val="00FE2C08"/>
    <w:rsid w:val="00FF62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017FE"/>
  <w15:chartTrackingRefBased/>
  <w15:docId w15:val="{537D09BA-1B18-4B9B-B828-EB58C03B9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03F3"/>
    <w:pPr>
      <w:widowControl w:val="0"/>
      <w:jc w:val="both"/>
    </w:pPr>
    <w:rPr>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03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03F3"/>
    <w:rPr>
      <w:sz w:val="18"/>
      <w:szCs w:val="18"/>
    </w:rPr>
  </w:style>
  <w:style w:type="paragraph" w:styleId="a5">
    <w:name w:val="footer"/>
    <w:basedOn w:val="a"/>
    <w:link w:val="a6"/>
    <w:uiPriority w:val="99"/>
    <w:unhideWhenUsed/>
    <w:rsid w:val="003303F3"/>
    <w:pPr>
      <w:tabs>
        <w:tab w:val="center" w:pos="4153"/>
        <w:tab w:val="right" w:pos="8306"/>
      </w:tabs>
      <w:snapToGrid w:val="0"/>
      <w:jc w:val="left"/>
    </w:pPr>
    <w:rPr>
      <w:sz w:val="18"/>
      <w:szCs w:val="18"/>
    </w:rPr>
  </w:style>
  <w:style w:type="character" w:customStyle="1" w:styleId="a6">
    <w:name w:val="页脚 字符"/>
    <w:basedOn w:val="a0"/>
    <w:link w:val="a5"/>
    <w:uiPriority w:val="99"/>
    <w:rsid w:val="003303F3"/>
    <w:rPr>
      <w:sz w:val="18"/>
      <w:szCs w:val="18"/>
    </w:rPr>
  </w:style>
  <w:style w:type="paragraph" w:styleId="a7">
    <w:name w:val="List Paragraph"/>
    <w:basedOn w:val="a"/>
    <w:uiPriority w:val="34"/>
    <w:qFormat/>
    <w:rsid w:val="00D30F26"/>
    <w:pPr>
      <w:ind w:firstLineChars="200" w:firstLine="420"/>
    </w:pPr>
  </w:style>
  <w:style w:type="paragraph" w:styleId="a8">
    <w:name w:val="annotation text"/>
    <w:basedOn w:val="a"/>
    <w:link w:val="a9"/>
    <w:uiPriority w:val="99"/>
    <w:unhideWhenUsed/>
    <w:qFormat/>
    <w:rsid w:val="00894251"/>
    <w:pPr>
      <w:jc w:val="left"/>
    </w:pPr>
  </w:style>
  <w:style w:type="character" w:customStyle="1" w:styleId="a9">
    <w:name w:val="批注文字 字符"/>
    <w:basedOn w:val="a0"/>
    <w:link w:val="a8"/>
    <w:uiPriority w:val="99"/>
    <w:qFormat/>
    <w:rsid w:val="00894251"/>
    <w:rPr>
      <w14:ligatures w14:val="standardContextual"/>
    </w:rPr>
  </w:style>
  <w:style w:type="character" w:styleId="aa">
    <w:name w:val="annotation reference"/>
    <w:basedOn w:val="a0"/>
    <w:uiPriority w:val="99"/>
    <w:semiHidden/>
    <w:unhideWhenUsed/>
    <w:qFormat/>
    <w:rsid w:val="00894251"/>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1293</Words>
  <Characters>7375</Characters>
  <Application>Microsoft Office Word</Application>
  <DocSecurity>0</DocSecurity>
  <Lines>61</Lines>
  <Paragraphs>17</Paragraphs>
  <ScaleCrop>false</ScaleCrop>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Cao</dc:creator>
  <cp:keywords/>
  <dc:description/>
  <cp:lastModifiedBy>Lenovo</cp:lastModifiedBy>
  <cp:revision>23</cp:revision>
  <cp:lastPrinted>2026-03-26T07:00:00Z</cp:lastPrinted>
  <dcterms:created xsi:type="dcterms:W3CDTF">2026-03-26T06:31:00Z</dcterms:created>
  <dcterms:modified xsi:type="dcterms:W3CDTF">2026-03-27T09:38:00Z</dcterms:modified>
</cp:coreProperties>
</file>