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9E1D8" w14:textId="35A64454" w:rsidR="001A124A" w:rsidRPr="00E02E89" w:rsidRDefault="00BB3C8D" w:rsidP="00E02E89">
      <w:pPr>
        <w:spacing w:beforeLines="50" w:before="156" w:afterLines="50" w:after="156"/>
        <w:ind w:firstLineChars="200" w:firstLine="643"/>
        <w:contextualSpacing/>
        <w:jc w:val="center"/>
        <w:rPr>
          <w:rFonts w:ascii="楷体" w:eastAsia="楷体" w:hAnsi="楷体" w:cs="Times New Roman"/>
          <w:b/>
          <w:bCs/>
          <w:color w:val="000000" w:themeColor="text1"/>
          <w:sz w:val="32"/>
          <w:szCs w:val="32"/>
        </w:rPr>
      </w:pPr>
      <w:r w:rsidRPr="00E02E89">
        <w:rPr>
          <w:rFonts w:ascii="楷体" w:eastAsia="楷体" w:hAnsi="楷体" w:cs="Times New Roman" w:hint="eastAsia"/>
          <w:b/>
          <w:bCs/>
          <w:color w:val="000000" w:themeColor="text1"/>
          <w:sz w:val="32"/>
          <w:szCs w:val="32"/>
        </w:rPr>
        <w:t>附件</w:t>
      </w:r>
      <w:r w:rsidR="003811DB">
        <w:rPr>
          <w:rFonts w:ascii="楷体" w:eastAsia="楷体" w:hAnsi="楷体" w:cs="Times New Roman" w:hint="eastAsia"/>
          <w:b/>
          <w:bCs/>
          <w:color w:val="000000" w:themeColor="text1"/>
          <w:sz w:val="32"/>
          <w:szCs w:val="32"/>
        </w:rPr>
        <w:t>1</w:t>
      </w:r>
      <w:r w:rsidRPr="00E02E89">
        <w:rPr>
          <w:rFonts w:ascii="楷体" w:eastAsia="楷体" w:hAnsi="楷体" w:cs="Times New Roman" w:hint="eastAsia"/>
          <w:b/>
          <w:bCs/>
          <w:color w:val="000000" w:themeColor="text1"/>
          <w:sz w:val="32"/>
          <w:szCs w:val="32"/>
        </w:rPr>
        <w:t>：</w:t>
      </w:r>
      <w:r w:rsidR="004A3FC4" w:rsidRPr="00E02E89">
        <w:rPr>
          <w:rFonts w:ascii="楷体" w:eastAsia="楷体" w:hAnsi="楷体" w:cs="Times New Roman" w:hint="eastAsia"/>
          <w:b/>
          <w:bCs/>
          <w:color w:val="000000" w:themeColor="text1"/>
          <w:sz w:val="32"/>
          <w:szCs w:val="32"/>
        </w:rPr>
        <w:t>国有资本划转社保</w:t>
      </w:r>
      <w:r w:rsidRPr="00E02E89">
        <w:rPr>
          <w:rFonts w:ascii="楷体" w:eastAsia="楷体" w:hAnsi="楷体" w:cs="Times New Roman" w:hint="eastAsia"/>
          <w:b/>
          <w:bCs/>
          <w:color w:val="000000" w:themeColor="text1"/>
          <w:sz w:val="32"/>
          <w:szCs w:val="32"/>
        </w:rPr>
        <w:t>基金政策背景</w:t>
      </w:r>
    </w:p>
    <w:p w14:paraId="5E04B61F" w14:textId="1CE1774F" w:rsidR="00D57B09" w:rsidRPr="001503A1" w:rsidRDefault="00D57B09" w:rsidP="00907772">
      <w:pPr>
        <w:spacing w:beforeLines="50" w:before="156"/>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hint="eastAsia"/>
          <w:color w:val="000000" w:themeColor="text1"/>
        </w:rPr>
        <w:t>我国</w:t>
      </w:r>
      <w:r w:rsidRPr="001503A1">
        <w:rPr>
          <w:rFonts w:ascii="Times New Roman" w:eastAsia="宋体" w:hAnsi="Times New Roman" w:cs="Times New Roman"/>
          <w:color w:val="000000" w:themeColor="text1"/>
        </w:rPr>
        <w:t>国有资产充实社保基金方案肇因于</w:t>
      </w:r>
      <w:r w:rsidRPr="001503A1">
        <w:rPr>
          <w:rFonts w:ascii="Times New Roman" w:eastAsia="宋体" w:hAnsi="Times New Roman" w:cs="Times New Roman"/>
          <w:color w:val="000000" w:themeColor="text1"/>
        </w:rPr>
        <w:t>1998</w:t>
      </w:r>
      <w:r w:rsidRPr="001503A1">
        <w:rPr>
          <w:rFonts w:ascii="Times New Roman" w:eastAsia="宋体" w:hAnsi="Times New Roman" w:cs="Times New Roman"/>
          <w:color w:val="000000" w:themeColor="text1"/>
        </w:rPr>
        <w:t>年国有企业改革而形成至今</w:t>
      </w:r>
      <w:r w:rsidRPr="001503A1">
        <w:rPr>
          <w:rFonts w:ascii="宋体" w:eastAsia="宋体" w:hAnsi="宋体" w:cs="Times New Roman"/>
          <w:color w:val="000000" w:themeColor="text1"/>
        </w:rPr>
        <w:t>的“现收现付”制度。此后，我国于</w:t>
      </w:r>
      <w:r w:rsidRPr="001503A1">
        <w:rPr>
          <w:rFonts w:ascii="Times New Roman" w:eastAsia="宋体" w:hAnsi="Times New Roman" w:cs="Times New Roman"/>
          <w:color w:val="000000" w:themeColor="text1"/>
        </w:rPr>
        <w:t>2008</w:t>
      </w:r>
      <w:r w:rsidRPr="001503A1">
        <w:rPr>
          <w:rFonts w:ascii="宋体" w:eastAsia="宋体" w:hAnsi="宋体" w:cs="Times New Roman"/>
          <w:color w:val="000000" w:themeColor="text1"/>
        </w:rPr>
        <w:t>年提出</w:t>
      </w:r>
      <w:r w:rsidRPr="001503A1">
        <w:rPr>
          <w:rFonts w:ascii="宋体" w:eastAsia="宋体" w:hAnsi="宋体" w:cs="Times New Roman" w:hint="eastAsia"/>
          <w:color w:val="000000" w:themeColor="text1"/>
        </w:rPr>
        <w:t>将</w:t>
      </w:r>
      <w:r w:rsidRPr="001503A1">
        <w:rPr>
          <w:rFonts w:ascii="宋体" w:eastAsia="宋体" w:hAnsi="宋体" w:cs="Times New Roman"/>
          <w:color w:val="000000" w:themeColor="text1"/>
        </w:rPr>
        <w:t>国有资本划转作为筹集国家社会保障储备基金</w:t>
      </w:r>
      <w:r w:rsidRPr="001503A1">
        <w:rPr>
          <w:rFonts w:ascii="宋体" w:eastAsia="宋体" w:hAnsi="宋体" w:cs="Times New Roman" w:hint="eastAsia"/>
          <w:color w:val="000000" w:themeColor="text1"/>
        </w:rPr>
        <w:t>的</w:t>
      </w:r>
      <w:r w:rsidRPr="001503A1">
        <w:rPr>
          <w:rFonts w:ascii="宋体" w:eastAsia="宋体" w:hAnsi="宋体" w:cs="Times New Roman"/>
          <w:color w:val="000000" w:themeColor="text1"/>
        </w:rPr>
        <w:t>方式之</w:t>
      </w:r>
      <w:r w:rsidRPr="001503A1">
        <w:rPr>
          <w:rFonts w:ascii="Times New Roman" w:eastAsia="宋体" w:hAnsi="Times New Roman" w:cs="Times New Roman"/>
          <w:color w:val="000000" w:themeColor="text1"/>
        </w:rPr>
        <w:t>一，这是国有资本划转充实社保基金最早的雏形。基于时间维度，国资划转社保的实施力度呈现逐年强化的态势。</w:t>
      </w:r>
      <w:r w:rsidRPr="001503A1">
        <w:rPr>
          <w:rFonts w:ascii="Times New Roman" w:eastAsia="宋体" w:hAnsi="Times New Roman" w:cs="Times New Roman" w:hint="eastAsia"/>
          <w:color w:val="000000" w:themeColor="text1"/>
        </w:rPr>
        <w:t>历经长期政策酝酿与顶层设计，</w:t>
      </w:r>
      <w:r w:rsidRPr="001503A1">
        <w:rPr>
          <w:rFonts w:ascii="Times New Roman" w:eastAsia="宋体" w:hAnsi="Times New Roman" w:cs="Times New Roman" w:hint="eastAsia"/>
          <w:color w:val="000000" w:themeColor="text1"/>
        </w:rPr>
        <w:t>2013</w:t>
      </w:r>
      <w:r w:rsidRPr="001503A1">
        <w:rPr>
          <w:rFonts w:ascii="Times New Roman" w:eastAsia="宋体" w:hAnsi="Times New Roman" w:cs="Times New Roman" w:hint="eastAsia"/>
          <w:color w:val="000000" w:themeColor="text1"/>
        </w:rPr>
        <w:t>年中国共产党第十八届三中全会首次明确提出“划转部分国有资本充实社会保障基金”的战略部署。根据全会通过的改革决定，国家承诺将国有企业利润的</w:t>
      </w:r>
      <w:r w:rsidRPr="001503A1">
        <w:rPr>
          <w:rFonts w:ascii="Times New Roman" w:eastAsia="宋体" w:hAnsi="Times New Roman" w:cs="Times New Roman" w:hint="eastAsia"/>
          <w:color w:val="000000" w:themeColor="text1"/>
        </w:rPr>
        <w:t>30%</w:t>
      </w:r>
      <w:r w:rsidRPr="001503A1">
        <w:rPr>
          <w:rFonts w:ascii="Times New Roman" w:eastAsia="宋体" w:hAnsi="Times New Roman" w:cs="Times New Roman" w:hint="eastAsia"/>
          <w:color w:val="000000" w:themeColor="text1"/>
        </w:rPr>
        <w:t>上缴财政，并全额划入社会保险基金，从而在制度层面奠定了国有资本划转的初步基础。时隔四年后，</w:t>
      </w:r>
      <w:r w:rsidRPr="001503A1">
        <w:rPr>
          <w:rFonts w:ascii="Times New Roman" w:eastAsia="宋体" w:hAnsi="Times New Roman" w:cs="Times New Roman" w:hint="eastAsia"/>
          <w:color w:val="000000" w:themeColor="text1"/>
        </w:rPr>
        <w:t>2016</w:t>
      </w:r>
      <w:r w:rsidRPr="001503A1">
        <w:rPr>
          <w:rFonts w:ascii="Times New Roman" w:eastAsia="宋体" w:hAnsi="Times New Roman" w:cs="Times New Roman" w:hint="eastAsia"/>
          <w:color w:val="000000" w:themeColor="text1"/>
        </w:rPr>
        <w:t>年《政府工作报告》首次将该项改革推向实操阶段，明确提出“制定划转部分国有资本充实社保基金办法”，标志着相关工作进入办法制定与程序构建的新环节。延续这一政策脉络，</w:t>
      </w:r>
      <w:r w:rsidRPr="001503A1">
        <w:rPr>
          <w:rFonts w:ascii="Times New Roman" w:eastAsia="宋体" w:hAnsi="Times New Roman" w:cs="Times New Roman" w:hint="eastAsia"/>
          <w:color w:val="000000" w:themeColor="text1"/>
        </w:rPr>
        <w:t>2017</w:t>
      </w:r>
      <w:r w:rsidRPr="001503A1">
        <w:rPr>
          <w:rFonts w:ascii="Times New Roman" w:eastAsia="宋体" w:hAnsi="Times New Roman" w:cs="Times New Roman" w:hint="eastAsia"/>
          <w:color w:val="000000" w:themeColor="text1"/>
        </w:rPr>
        <w:t>年《政府工作报告》进一步</w:t>
      </w:r>
      <w:proofErr w:type="gramStart"/>
      <w:r w:rsidRPr="001503A1">
        <w:rPr>
          <w:rFonts w:ascii="Times New Roman" w:eastAsia="宋体" w:hAnsi="Times New Roman" w:cs="Times New Roman" w:hint="eastAsia"/>
          <w:color w:val="000000" w:themeColor="text1"/>
        </w:rPr>
        <w:t>作出</w:t>
      </w:r>
      <w:proofErr w:type="gramEnd"/>
      <w:r w:rsidRPr="001503A1">
        <w:rPr>
          <w:rFonts w:ascii="Times New Roman" w:eastAsia="宋体" w:hAnsi="Times New Roman" w:cs="Times New Roman" w:hint="eastAsia"/>
          <w:color w:val="000000" w:themeColor="text1"/>
        </w:rPr>
        <w:t>明确部署，强调要“稳步推动养老保险制度改革，划转部分国有资本充实社保基金”，凸显了中央在深化社会保障体系改革方面的持续推动与制度安排。为切实推进改革落实，国务院于</w:t>
      </w:r>
      <w:r w:rsidRPr="001503A1">
        <w:rPr>
          <w:rFonts w:ascii="Times New Roman" w:eastAsia="宋体" w:hAnsi="Times New Roman" w:cs="Times New Roman" w:hint="eastAsia"/>
          <w:color w:val="000000" w:themeColor="text1"/>
        </w:rPr>
        <w:t>2017</w:t>
      </w:r>
      <w:r w:rsidRPr="001503A1">
        <w:rPr>
          <w:rFonts w:ascii="Times New Roman" w:eastAsia="宋体" w:hAnsi="Times New Roman" w:cs="Times New Roman" w:hint="eastAsia"/>
          <w:color w:val="000000" w:themeColor="text1"/>
        </w:rPr>
        <w:t>年</w:t>
      </w:r>
      <w:r w:rsidRPr="001503A1">
        <w:rPr>
          <w:rFonts w:ascii="Times New Roman" w:eastAsia="宋体" w:hAnsi="Times New Roman" w:cs="Times New Roman" w:hint="eastAsia"/>
          <w:color w:val="000000" w:themeColor="text1"/>
        </w:rPr>
        <w:t>11</w:t>
      </w:r>
      <w:r w:rsidRPr="001503A1">
        <w:rPr>
          <w:rFonts w:ascii="Times New Roman" w:eastAsia="宋体" w:hAnsi="Times New Roman" w:cs="Times New Roman" w:hint="eastAsia"/>
          <w:color w:val="000000" w:themeColor="text1"/>
        </w:rPr>
        <w:t>月正式印发《划转部分国有资本充实社保基金实施方案》（国发〔</w:t>
      </w:r>
      <w:r w:rsidRPr="001503A1">
        <w:rPr>
          <w:rFonts w:ascii="Times New Roman" w:eastAsia="宋体" w:hAnsi="Times New Roman" w:cs="Times New Roman" w:hint="eastAsia"/>
          <w:color w:val="000000" w:themeColor="text1"/>
        </w:rPr>
        <w:t>2017</w:t>
      </w:r>
      <w:r w:rsidRPr="001503A1">
        <w:rPr>
          <w:rFonts w:ascii="Times New Roman" w:eastAsia="宋体" w:hAnsi="Times New Roman" w:cs="Times New Roman" w:hint="eastAsia"/>
          <w:color w:val="000000" w:themeColor="text1"/>
        </w:rPr>
        <w:t>〕</w:t>
      </w:r>
      <w:r w:rsidRPr="001503A1">
        <w:rPr>
          <w:rFonts w:ascii="Times New Roman" w:eastAsia="宋体" w:hAnsi="Times New Roman" w:cs="Times New Roman" w:hint="eastAsia"/>
          <w:color w:val="000000" w:themeColor="text1"/>
        </w:rPr>
        <w:t>49</w:t>
      </w:r>
      <w:r w:rsidRPr="001503A1">
        <w:rPr>
          <w:rFonts w:ascii="Times New Roman" w:eastAsia="宋体" w:hAnsi="Times New Roman" w:cs="Times New Roman" w:hint="eastAsia"/>
          <w:color w:val="000000" w:themeColor="text1"/>
        </w:rPr>
        <w:t>号）。该方案明确将中央及地方国有及国有控股大中型企业、金融机构纳入划转范围，并统一设定划转比例为企业国有股权的</w:t>
      </w:r>
      <w:r w:rsidRPr="001503A1">
        <w:rPr>
          <w:rFonts w:ascii="Times New Roman" w:eastAsia="宋体" w:hAnsi="Times New Roman" w:cs="Times New Roman" w:hint="eastAsia"/>
          <w:color w:val="000000" w:themeColor="text1"/>
        </w:rPr>
        <w:t>10%</w:t>
      </w:r>
      <w:r w:rsidRPr="001503A1">
        <w:rPr>
          <w:rFonts w:ascii="Times New Roman" w:eastAsia="宋体" w:hAnsi="Times New Roman" w:cs="Times New Roman" w:hint="eastAsia"/>
          <w:color w:val="000000" w:themeColor="text1"/>
        </w:rPr>
        <w:t>。文件同时确定，划转工作自</w:t>
      </w:r>
      <w:r w:rsidRPr="001503A1">
        <w:rPr>
          <w:rFonts w:ascii="Times New Roman" w:eastAsia="宋体" w:hAnsi="Times New Roman" w:cs="Times New Roman" w:hint="eastAsia"/>
          <w:color w:val="000000" w:themeColor="text1"/>
        </w:rPr>
        <w:t>2018</w:t>
      </w:r>
      <w:r w:rsidRPr="001503A1">
        <w:rPr>
          <w:rFonts w:ascii="Times New Roman" w:eastAsia="宋体" w:hAnsi="Times New Roman" w:cs="Times New Roman" w:hint="eastAsia"/>
          <w:color w:val="000000" w:themeColor="text1"/>
        </w:rPr>
        <w:t>年起全面启动</w:t>
      </w:r>
      <w:r w:rsidRPr="001503A1">
        <w:rPr>
          <w:rFonts w:ascii="Times New Roman" w:eastAsia="宋体" w:hAnsi="Times New Roman" w:cs="Times New Roman"/>
          <w:color w:val="000000" w:themeColor="text1"/>
        </w:rPr>
        <w:t>。自此，国有资本划转工作</w:t>
      </w:r>
      <w:r w:rsidRPr="001503A1">
        <w:rPr>
          <w:rFonts w:ascii="Times New Roman" w:eastAsia="宋体" w:hAnsi="Times New Roman" w:cs="Times New Roman" w:hint="eastAsia"/>
          <w:color w:val="000000" w:themeColor="text1"/>
        </w:rPr>
        <w:t>延</w:t>
      </w:r>
      <w:r w:rsidRPr="001503A1">
        <w:rPr>
          <w:rFonts w:ascii="Times New Roman" w:eastAsia="宋体" w:hAnsi="Times New Roman" w:cs="Times New Roman"/>
          <w:color w:val="000000" w:themeColor="text1"/>
        </w:rPr>
        <w:t>既定路线稳步推进。</w:t>
      </w:r>
    </w:p>
    <w:p w14:paraId="2E5AA396" w14:textId="752E4955" w:rsidR="004A3FC4" w:rsidRPr="001503A1" w:rsidRDefault="00D57B09" w:rsidP="002B36B7">
      <w:pPr>
        <w:ind w:firstLineChars="200" w:firstLine="420"/>
        <w:contextualSpacing/>
        <w:rPr>
          <w:rFonts w:ascii="Times New Roman" w:eastAsia="宋体" w:hAnsi="Times New Roman" w:cs="Times New Roman"/>
          <w:color w:val="000000" w:themeColor="text1"/>
        </w:rPr>
      </w:pPr>
      <w:r w:rsidRPr="001503A1">
        <w:rPr>
          <w:rFonts w:ascii="Times New Roman" w:eastAsia="宋体" w:hAnsi="Times New Roman" w:cs="Times New Roman" w:hint="eastAsia"/>
          <w:color w:val="000000" w:themeColor="text1"/>
        </w:rPr>
        <w:t>相比于以往的国有企业改革模式，国有资本划转实现了以下突破：一方面，国有资本划转之后，通过引入全国社保基金等资产承接主体作为被划转企业的国有股东，届时将改变原国有企业“一支独大”的股权结构，多元化持股将使得被划转企业面临各资产承接机构和原国有股东等的多头监管，助</w:t>
      </w:r>
      <w:proofErr w:type="gramStart"/>
      <w:r w:rsidRPr="001503A1">
        <w:rPr>
          <w:rFonts w:ascii="Times New Roman" w:eastAsia="宋体" w:hAnsi="Times New Roman" w:cs="Times New Roman" w:hint="eastAsia"/>
          <w:color w:val="000000" w:themeColor="text1"/>
        </w:rPr>
        <w:t>推国有</w:t>
      </w:r>
      <w:proofErr w:type="gramEnd"/>
      <w:r w:rsidRPr="001503A1">
        <w:rPr>
          <w:rFonts w:ascii="Times New Roman" w:eastAsia="宋体" w:hAnsi="Times New Roman" w:cs="Times New Roman" w:hint="eastAsia"/>
          <w:color w:val="000000" w:themeColor="text1"/>
        </w:rPr>
        <w:t>企业建立适应市场竞争的现代企业制度。另一方面，全国社保基等承接主体作为专业的财务投资者，通过国有资本的结构调整和有序进退来获取收益，其专业知识和经验积累的发挥能够提高国有企业的经营效率，对于实现国企监管从“管资产”向“管资本”转变具有重要意义。基于此，</w:t>
      </w:r>
      <w:r w:rsidRPr="001503A1">
        <w:rPr>
          <w:rFonts w:ascii="Times New Roman" w:eastAsia="宋体" w:hAnsi="Times New Roman" w:cs="Times New Roman"/>
          <w:color w:val="000000" w:themeColor="text1"/>
        </w:rPr>
        <w:t>本文</w:t>
      </w:r>
      <w:r w:rsidRPr="001503A1">
        <w:rPr>
          <w:rFonts w:ascii="Times New Roman" w:eastAsia="宋体" w:hAnsi="Times New Roman" w:cs="Times New Roman" w:hint="eastAsia"/>
          <w:color w:val="000000" w:themeColor="text1"/>
        </w:rPr>
        <w:t>基于国有资本划转政策的分批实施为准自然识别场景，</w:t>
      </w:r>
      <w:r w:rsidRPr="001503A1">
        <w:rPr>
          <w:rFonts w:ascii="Times New Roman" w:eastAsia="宋体" w:hAnsi="Times New Roman" w:cs="Times New Roman"/>
          <w:color w:val="000000" w:themeColor="text1"/>
        </w:rPr>
        <w:t>以</w:t>
      </w:r>
      <w:r w:rsidR="006D387C" w:rsidRPr="001503A1">
        <w:rPr>
          <w:rFonts w:ascii="Times New Roman" w:eastAsia="宋体" w:hAnsi="Times New Roman" w:cs="Times New Roman" w:hint="eastAsia"/>
          <w:color w:val="000000" w:themeColor="text1"/>
        </w:rPr>
        <w:t>国有企业</w:t>
      </w:r>
      <w:r w:rsidRPr="001503A1">
        <w:rPr>
          <w:rFonts w:ascii="Times New Roman" w:eastAsia="宋体" w:hAnsi="Times New Roman" w:cs="Times New Roman"/>
          <w:color w:val="000000" w:themeColor="text1"/>
        </w:rPr>
        <w:t>风险承担水平为切入点，</w:t>
      </w:r>
      <w:r w:rsidRPr="001503A1">
        <w:rPr>
          <w:rFonts w:ascii="Times New Roman" w:eastAsia="宋体" w:hAnsi="Times New Roman" w:cs="Times New Roman" w:hint="eastAsia"/>
          <w:color w:val="000000" w:themeColor="text1"/>
        </w:rPr>
        <w:t>采用交叠双重差分模型</w:t>
      </w:r>
      <w:r w:rsidRPr="001503A1">
        <w:rPr>
          <w:rFonts w:ascii="Times New Roman" w:eastAsia="宋体" w:hAnsi="Times New Roman" w:cs="Times New Roman"/>
          <w:color w:val="000000" w:themeColor="text1"/>
        </w:rPr>
        <w:t>对国有资本划转</w:t>
      </w:r>
      <w:r w:rsidR="006D387C" w:rsidRPr="001503A1">
        <w:rPr>
          <w:rFonts w:ascii="Times New Roman" w:eastAsia="宋体" w:hAnsi="Times New Roman" w:cs="Times New Roman" w:hint="eastAsia"/>
          <w:color w:val="000000" w:themeColor="text1"/>
        </w:rPr>
        <w:t>政策</w:t>
      </w:r>
      <w:r w:rsidRPr="001503A1">
        <w:rPr>
          <w:rFonts w:ascii="Times New Roman" w:eastAsia="宋体" w:hAnsi="Times New Roman" w:cs="Times New Roman"/>
          <w:color w:val="000000" w:themeColor="text1"/>
        </w:rPr>
        <w:t>的微观效果进行详细评估。</w:t>
      </w:r>
    </w:p>
    <w:sectPr w:rsidR="004A3FC4" w:rsidRPr="001503A1" w:rsidSect="00BB3C8D">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19834" w14:textId="77777777" w:rsidR="00040D34" w:rsidRDefault="00040D34" w:rsidP="003303F3">
      <w:pPr>
        <w:rPr>
          <w:rFonts w:hint="eastAsia"/>
        </w:rPr>
      </w:pPr>
      <w:r>
        <w:separator/>
      </w:r>
    </w:p>
  </w:endnote>
  <w:endnote w:type="continuationSeparator" w:id="0">
    <w:p w14:paraId="658E5C16" w14:textId="77777777" w:rsidR="00040D34" w:rsidRDefault="00040D34" w:rsidP="003303F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5AAB9" w14:textId="77777777" w:rsidR="00040D34" w:rsidRDefault="00040D34" w:rsidP="003303F3">
      <w:pPr>
        <w:rPr>
          <w:rFonts w:hint="eastAsia"/>
        </w:rPr>
      </w:pPr>
      <w:r>
        <w:separator/>
      </w:r>
    </w:p>
  </w:footnote>
  <w:footnote w:type="continuationSeparator" w:id="0">
    <w:p w14:paraId="4C7705B3" w14:textId="77777777" w:rsidR="00040D34" w:rsidRDefault="00040D34" w:rsidP="003303F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2F1B2B"/>
    <w:multiLevelType w:val="hybridMultilevel"/>
    <w:tmpl w:val="28CC7F78"/>
    <w:lvl w:ilvl="0" w:tplc="230C0FFA">
      <w:start w:val="1"/>
      <w:numFmt w:val="decimal"/>
      <w:suff w:val="space"/>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A5C643C"/>
    <w:multiLevelType w:val="hybridMultilevel"/>
    <w:tmpl w:val="787C8DCA"/>
    <w:lvl w:ilvl="0" w:tplc="DDFC8A02">
      <w:start w:val="1"/>
      <w:numFmt w:val="decimal"/>
      <w:suff w:val="space"/>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97960820">
    <w:abstractNumId w:val="0"/>
  </w:num>
  <w:num w:numId="2" w16cid:durableId="1668556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0C4"/>
    <w:rsid w:val="00030B08"/>
    <w:rsid w:val="00040D34"/>
    <w:rsid w:val="000D6B28"/>
    <w:rsid w:val="001110C5"/>
    <w:rsid w:val="0012705E"/>
    <w:rsid w:val="001476EC"/>
    <w:rsid w:val="001503A1"/>
    <w:rsid w:val="001708E7"/>
    <w:rsid w:val="00183720"/>
    <w:rsid w:val="0019113D"/>
    <w:rsid w:val="0019544D"/>
    <w:rsid w:val="001A124A"/>
    <w:rsid w:val="001E4133"/>
    <w:rsid w:val="002164A7"/>
    <w:rsid w:val="002354D6"/>
    <w:rsid w:val="002460A0"/>
    <w:rsid w:val="002526AD"/>
    <w:rsid w:val="002808E7"/>
    <w:rsid w:val="00287840"/>
    <w:rsid w:val="002930C4"/>
    <w:rsid w:val="00297110"/>
    <w:rsid w:val="002B36B7"/>
    <w:rsid w:val="002E7514"/>
    <w:rsid w:val="003303F3"/>
    <w:rsid w:val="00335D82"/>
    <w:rsid w:val="003811DB"/>
    <w:rsid w:val="00393623"/>
    <w:rsid w:val="003B57C9"/>
    <w:rsid w:val="004275C7"/>
    <w:rsid w:val="004938EA"/>
    <w:rsid w:val="004A3FC4"/>
    <w:rsid w:val="004B394F"/>
    <w:rsid w:val="004B56A9"/>
    <w:rsid w:val="004C2CB0"/>
    <w:rsid w:val="004C3254"/>
    <w:rsid w:val="004F0A83"/>
    <w:rsid w:val="005179EE"/>
    <w:rsid w:val="00541758"/>
    <w:rsid w:val="005C7B1F"/>
    <w:rsid w:val="006246BA"/>
    <w:rsid w:val="00624AEC"/>
    <w:rsid w:val="00675270"/>
    <w:rsid w:val="00677B03"/>
    <w:rsid w:val="006D387C"/>
    <w:rsid w:val="006E53A9"/>
    <w:rsid w:val="00712547"/>
    <w:rsid w:val="00755EE7"/>
    <w:rsid w:val="00762166"/>
    <w:rsid w:val="00795373"/>
    <w:rsid w:val="007B1EA6"/>
    <w:rsid w:val="007D79CD"/>
    <w:rsid w:val="007E26FB"/>
    <w:rsid w:val="00822B84"/>
    <w:rsid w:val="00830BB0"/>
    <w:rsid w:val="00850FBD"/>
    <w:rsid w:val="00881459"/>
    <w:rsid w:val="00894251"/>
    <w:rsid w:val="008E3E73"/>
    <w:rsid w:val="008F0976"/>
    <w:rsid w:val="00900311"/>
    <w:rsid w:val="00907772"/>
    <w:rsid w:val="009224C6"/>
    <w:rsid w:val="0097791C"/>
    <w:rsid w:val="009E0C8D"/>
    <w:rsid w:val="00A84C95"/>
    <w:rsid w:val="00AD6166"/>
    <w:rsid w:val="00AF5CD8"/>
    <w:rsid w:val="00B25BE4"/>
    <w:rsid w:val="00B26CBC"/>
    <w:rsid w:val="00B45BF1"/>
    <w:rsid w:val="00B80A9E"/>
    <w:rsid w:val="00B91FC2"/>
    <w:rsid w:val="00BA3DD9"/>
    <w:rsid w:val="00BB3C8D"/>
    <w:rsid w:val="00BF2024"/>
    <w:rsid w:val="00C47FDB"/>
    <w:rsid w:val="00C6146D"/>
    <w:rsid w:val="00C721E7"/>
    <w:rsid w:val="00C87E1B"/>
    <w:rsid w:val="00CA25F7"/>
    <w:rsid w:val="00CB4C5F"/>
    <w:rsid w:val="00CE1DA4"/>
    <w:rsid w:val="00CF620C"/>
    <w:rsid w:val="00D309CE"/>
    <w:rsid w:val="00D30F26"/>
    <w:rsid w:val="00D57B09"/>
    <w:rsid w:val="00D745B6"/>
    <w:rsid w:val="00D84F98"/>
    <w:rsid w:val="00DA15E0"/>
    <w:rsid w:val="00DD13E1"/>
    <w:rsid w:val="00DF39BA"/>
    <w:rsid w:val="00E02E89"/>
    <w:rsid w:val="00E33291"/>
    <w:rsid w:val="00E62199"/>
    <w:rsid w:val="00E83678"/>
    <w:rsid w:val="00EE6C33"/>
    <w:rsid w:val="00F12567"/>
    <w:rsid w:val="00F33265"/>
    <w:rsid w:val="00FC76D0"/>
    <w:rsid w:val="00FE2C08"/>
    <w:rsid w:val="00FE2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017FE"/>
  <w15:chartTrackingRefBased/>
  <w15:docId w15:val="{537D09BA-1B18-4B9B-B828-EB58C03B9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03F3"/>
    <w:pPr>
      <w:widowControl w:val="0"/>
      <w:jc w:val="both"/>
    </w:pPr>
    <w:rPr>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03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03F3"/>
    <w:rPr>
      <w:sz w:val="18"/>
      <w:szCs w:val="18"/>
    </w:rPr>
  </w:style>
  <w:style w:type="paragraph" w:styleId="a5">
    <w:name w:val="footer"/>
    <w:basedOn w:val="a"/>
    <w:link w:val="a6"/>
    <w:uiPriority w:val="99"/>
    <w:unhideWhenUsed/>
    <w:rsid w:val="003303F3"/>
    <w:pPr>
      <w:tabs>
        <w:tab w:val="center" w:pos="4153"/>
        <w:tab w:val="right" w:pos="8306"/>
      </w:tabs>
      <w:snapToGrid w:val="0"/>
      <w:jc w:val="left"/>
    </w:pPr>
    <w:rPr>
      <w:sz w:val="18"/>
      <w:szCs w:val="18"/>
    </w:rPr>
  </w:style>
  <w:style w:type="character" w:customStyle="1" w:styleId="a6">
    <w:name w:val="页脚 字符"/>
    <w:basedOn w:val="a0"/>
    <w:link w:val="a5"/>
    <w:uiPriority w:val="99"/>
    <w:rsid w:val="003303F3"/>
    <w:rPr>
      <w:sz w:val="18"/>
      <w:szCs w:val="18"/>
    </w:rPr>
  </w:style>
  <w:style w:type="paragraph" w:styleId="a7">
    <w:name w:val="List Paragraph"/>
    <w:basedOn w:val="a"/>
    <w:uiPriority w:val="34"/>
    <w:qFormat/>
    <w:rsid w:val="00D30F26"/>
    <w:pPr>
      <w:ind w:firstLineChars="200" w:firstLine="420"/>
    </w:pPr>
  </w:style>
  <w:style w:type="paragraph" w:styleId="a8">
    <w:name w:val="annotation text"/>
    <w:basedOn w:val="a"/>
    <w:link w:val="a9"/>
    <w:uiPriority w:val="99"/>
    <w:unhideWhenUsed/>
    <w:qFormat/>
    <w:rsid w:val="00894251"/>
    <w:pPr>
      <w:jc w:val="left"/>
    </w:pPr>
  </w:style>
  <w:style w:type="character" w:customStyle="1" w:styleId="a9">
    <w:name w:val="批注文字 字符"/>
    <w:basedOn w:val="a0"/>
    <w:link w:val="a8"/>
    <w:uiPriority w:val="99"/>
    <w:qFormat/>
    <w:rsid w:val="00894251"/>
    <w:rPr>
      <w14:ligatures w14:val="standardContextual"/>
    </w:rPr>
  </w:style>
  <w:style w:type="character" w:styleId="aa">
    <w:name w:val="annotation reference"/>
    <w:basedOn w:val="a0"/>
    <w:uiPriority w:val="99"/>
    <w:semiHidden/>
    <w:unhideWhenUsed/>
    <w:qFormat/>
    <w:rsid w:val="00894251"/>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141</Words>
  <Characters>806</Characters>
  <Application>Microsoft Office Word</Application>
  <DocSecurity>0</DocSecurity>
  <Lines>6</Lines>
  <Paragraphs>1</Paragraphs>
  <ScaleCrop>false</ScaleCrop>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Cao</dc:creator>
  <cp:keywords/>
  <dc:description/>
  <cp:lastModifiedBy>Lenovo</cp:lastModifiedBy>
  <cp:revision>33</cp:revision>
  <cp:lastPrinted>2026-03-26T06:34:00Z</cp:lastPrinted>
  <dcterms:created xsi:type="dcterms:W3CDTF">2026-03-26T06:27:00Z</dcterms:created>
  <dcterms:modified xsi:type="dcterms:W3CDTF">2026-03-26T06:56:00Z</dcterms:modified>
</cp:coreProperties>
</file>