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1CAE6" w14:textId="77777777" w:rsidR="001C2287" w:rsidRDefault="00000000">
      <w:pPr>
        <w:spacing w:after="0" w:line="240" w:lineRule="auto"/>
        <w:jc w:val="both"/>
        <w:rPr>
          <w:rFonts w:ascii="宋体" w:eastAsia="宋体" w:hAnsi="宋体" w:cs="Times New Roman" w:hint="eastAsia"/>
          <w:b/>
          <w:bCs/>
          <w:snapToGrid w:val="0"/>
          <w:kern w:val="0"/>
          <w:sz w:val="44"/>
          <w:szCs w:val="44"/>
          <w14:ligatures w14:val="none"/>
        </w:rPr>
      </w:pPr>
      <w:r>
        <w:rPr>
          <w:rFonts w:ascii="宋体" w:eastAsia="宋体" w:hAnsi="宋体" w:cs="Times New Roman" w:hint="eastAsia"/>
          <w:b/>
          <w:bCs/>
          <w:snapToGrid w:val="0"/>
          <w:kern w:val="0"/>
          <w:sz w:val="44"/>
          <w:szCs w:val="44"/>
          <w14:ligatures w14:val="none"/>
        </w:rPr>
        <w:t>附 录</w:t>
      </w:r>
    </w:p>
    <w:p w14:paraId="3B01AF20" w14:textId="77777777" w:rsidR="001C2287" w:rsidRDefault="00000000">
      <w:pPr>
        <w:pStyle w:val="1"/>
        <w:spacing w:before="0" w:after="0" w:line="240" w:lineRule="auto"/>
        <w:jc w:val="center"/>
        <w:rPr>
          <w:rFonts w:ascii="仿宋" w:eastAsia="仿宋" w:hAnsi="仿宋" w:cs="Times New Roman" w:hint="eastAsia"/>
          <w:b/>
          <w:color w:val="auto"/>
          <w:kern w:val="0"/>
          <w:sz w:val="28"/>
          <w:szCs w:val="28"/>
          <w14:ligatures w14:val="none"/>
        </w:rPr>
      </w:pPr>
      <w:r>
        <w:rPr>
          <w:rFonts w:ascii="仿宋" w:eastAsia="仿宋" w:hAnsi="仿宋" w:cs="Times New Roman" w:hint="eastAsia"/>
          <w:b/>
          <w:color w:val="auto"/>
          <w:kern w:val="0"/>
          <w:sz w:val="28"/>
          <w:szCs w:val="28"/>
          <w14:ligatures w14:val="none"/>
        </w:rPr>
        <w:t>正文未报告部分</w:t>
      </w:r>
    </w:p>
    <w:p w14:paraId="4AA822BC" w14:textId="77777777" w:rsidR="001C2287" w:rsidRDefault="00000000">
      <w:pPr>
        <w:pStyle w:val="1"/>
        <w:spacing w:before="0" w:after="0" w:line="240" w:lineRule="auto"/>
        <w:jc w:val="center"/>
        <w:rPr>
          <w:rFonts w:ascii="仿宋" w:eastAsia="仿宋" w:hAnsi="仿宋" w:cs="Times New Roman" w:hint="eastAsia"/>
          <w:b/>
          <w:color w:val="auto"/>
          <w:kern w:val="0"/>
          <w:sz w:val="28"/>
          <w:szCs w:val="28"/>
          <w14:ligatures w14:val="none"/>
        </w:rPr>
      </w:pPr>
      <w:r>
        <w:rPr>
          <w:rFonts w:ascii="仿宋" w:eastAsia="仿宋" w:hAnsi="仿宋" w:cs="Times New Roman" w:hint="eastAsia"/>
          <w:b/>
          <w:color w:val="auto"/>
          <w:kern w:val="0"/>
          <w:sz w:val="28"/>
          <w:szCs w:val="28"/>
          <w14:ligatures w14:val="none"/>
        </w:rPr>
        <w:t>附录</w:t>
      </w:r>
      <w:r>
        <w:rPr>
          <w:rFonts w:ascii="Times New Roman" w:eastAsia="仿宋" w:hAnsi="Times New Roman" w:cs="Times New Roman" w:hint="eastAsia"/>
          <w:b/>
          <w:color w:val="auto"/>
          <w:kern w:val="0"/>
          <w:sz w:val="28"/>
          <w:szCs w:val="28"/>
          <w14:ligatures w14:val="none"/>
        </w:rPr>
        <w:t>1</w:t>
      </w:r>
      <w:r>
        <w:rPr>
          <w:rFonts w:ascii="仿宋" w:eastAsia="仿宋" w:hAnsi="仿宋" w:cs="Times New Roman" w:hint="eastAsia"/>
          <w:b/>
          <w:color w:val="auto"/>
          <w:kern w:val="0"/>
          <w:sz w:val="28"/>
          <w:szCs w:val="28"/>
          <w14:ligatures w14:val="none"/>
        </w:rPr>
        <w:t xml:space="preserve"> “繁简分流”改革试点城市及法院情况</w:t>
      </w:r>
    </w:p>
    <w:p w14:paraId="2F496468" w14:textId="77777777" w:rsidR="001C2287" w:rsidRDefault="00000000">
      <w:pPr>
        <w:pStyle w:val="a3"/>
        <w:tabs>
          <w:tab w:val="center" w:pos="4080"/>
        </w:tabs>
        <w:spacing w:after="0" w:line="240" w:lineRule="auto"/>
        <w:ind w:firstLine="422"/>
        <w:jc w:val="both"/>
        <w:rPr>
          <w:rFonts w:eastAsia="黑体"/>
          <w:b/>
          <w:bCs/>
          <w:sz w:val="21"/>
          <w:szCs w:val="21"/>
          <w14:ligatures w14:val="none"/>
        </w:rPr>
      </w:pPr>
      <w:r>
        <w:rPr>
          <w:rFonts w:eastAsia="黑体" w:hint="eastAsia"/>
          <w:b/>
          <w:bCs/>
          <w:sz w:val="21"/>
          <w:szCs w:val="21"/>
          <w14:ligatures w14:val="none"/>
        </w:rPr>
        <w:t>表</w:t>
      </w:r>
      <w:r>
        <w:rPr>
          <w:rFonts w:eastAsia="黑体" w:hint="eastAsia"/>
          <w:b/>
          <w:bCs/>
          <w:sz w:val="21"/>
          <w:szCs w:val="21"/>
          <w14:ligatures w14:val="none"/>
        </w:rPr>
        <w:t xml:space="preserve">A1            </w:t>
      </w:r>
      <w:r>
        <w:rPr>
          <w:rFonts w:eastAsia="黑体" w:hint="eastAsia"/>
          <w:b/>
          <w:bCs/>
          <w:sz w:val="21"/>
          <w:szCs w:val="21"/>
          <w14:ligatures w14:val="none"/>
        </w:rPr>
        <w:t>民事诉讼程序繁简分流改革试点城市及法院情况</w:t>
      </w:r>
    </w:p>
    <w:tbl>
      <w:tblPr>
        <w:tblStyle w:val="a5"/>
        <w:tblW w:w="85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9"/>
        <w:gridCol w:w="6143"/>
      </w:tblGrid>
      <w:tr w:rsidR="001C2287" w14:paraId="328E4FD8" w14:textId="77777777">
        <w:trPr>
          <w:jc w:val="center"/>
        </w:trPr>
        <w:tc>
          <w:tcPr>
            <w:tcW w:w="2379" w:type="dxa"/>
            <w:tcBorders>
              <w:top w:val="single" w:sz="4" w:space="0" w:color="auto"/>
              <w:bottom w:val="single" w:sz="4" w:space="0" w:color="auto"/>
              <w:right w:val="single" w:sz="4" w:space="0" w:color="auto"/>
            </w:tcBorders>
            <w:vAlign w:val="center"/>
          </w:tcPr>
          <w:p w14:paraId="2D9DC904" w14:textId="77777777" w:rsidR="001C2287" w:rsidRDefault="00000000">
            <w:pPr>
              <w:snapToGrid w:val="0"/>
              <w:spacing w:after="0" w:line="240" w:lineRule="auto"/>
              <w:jc w:val="center"/>
              <w:rPr>
                <w:rFonts w:ascii="宋体" w:eastAsia="宋体" w:hAnsi="宋体" w:hint="eastAsia"/>
                <w:sz w:val="21"/>
                <w:szCs w:val="21"/>
              </w:rPr>
            </w:pPr>
            <w:r>
              <w:rPr>
                <w:rFonts w:ascii="宋体" w:eastAsia="宋体" w:hAnsi="宋体" w:hint="eastAsia"/>
                <w:sz w:val="21"/>
                <w:szCs w:val="21"/>
              </w:rPr>
              <w:t>法院类型</w:t>
            </w:r>
          </w:p>
        </w:tc>
        <w:tc>
          <w:tcPr>
            <w:tcW w:w="6143" w:type="dxa"/>
            <w:tcBorders>
              <w:top w:val="single" w:sz="4" w:space="0" w:color="auto"/>
              <w:left w:val="single" w:sz="4" w:space="0" w:color="auto"/>
              <w:bottom w:val="single" w:sz="4" w:space="0" w:color="auto"/>
            </w:tcBorders>
            <w:vAlign w:val="center"/>
          </w:tcPr>
          <w:p w14:paraId="19357320" w14:textId="77777777" w:rsidR="001C2287" w:rsidRDefault="00000000">
            <w:pPr>
              <w:snapToGrid w:val="0"/>
              <w:spacing w:after="0" w:line="240" w:lineRule="auto"/>
              <w:jc w:val="center"/>
              <w:rPr>
                <w:rFonts w:ascii="宋体" w:eastAsia="宋体" w:hAnsi="宋体" w:hint="eastAsia"/>
                <w:sz w:val="21"/>
                <w:szCs w:val="21"/>
              </w:rPr>
            </w:pPr>
            <w:r>
              <w:rPr>
                <w:rFonts w:ascii="宋体" w:eastAsia="宋体" w:hAnsi="宋体" w:hint="eastAsia"/>
                <w:sz w:val="21"/>
                <w:szCs w:val="21"/>
              </w:rPr>
              <w:t>试点城市</w:t>
            </w:r>
          </w:p>
        </w:tc>
      </w:tr>
      <w:tr w:rsidR="001C2287" w14:paraId="25E7A478" w14:textId="77777777">
        <w:trPr>
          <w:jc w:val="center"/>
        </w:trPr>
        <w:tc>
          <w:tcPr>
            <w:tcW w:w="2379" w:type="dxa"/>
            <w:tcBorders>
              <w:top w:val="single" w:sz="4" w:space="0" w:color="auto"/>
              <w:right w:val="single" w:sz="4" w:space="0" w:color="auto"/>
            </w:tcBorders>
            <w:vAlign w:val="center"/>
          </w:tcPr>
          <w:p w14:paraId="1899D44F" w14:textId="77777777" w:rsidR="001C2287" w:rsidRDefault="00000000">
            <w:pPr>
              <w:snapToGrid w:val="0"/>
              <w:spacing w:after="0" w:line="240" w:lineRule="auto"/>
              <w:jc w:val="center"/>
              <w:rPr>
                <w:rFonts w:ascii="楷体" w:eastAsia="楷体" w:hAnsi="楷体" w:cs="楷体" w:hint="eastAsia"/>
                <w:sz w:val="21"/>
                <w:szCs w:val="21"/>
              </w:rPr>
            </w:pPr>
            <w:r>
              <w:rPr>
                <w:rFonts w:ascii="楷体" w:eastAsia="楷体" w:hAnsi="楷体" w:cs="楷体" w:hint="eastAsia"/>
                <w:sz w:val="21"/>
                <w:szCs w:val="21"/>
              </w:rPr>
              <w:t>辖区内中级人民法院、基层人民法院</w:t>
            </w:r>
          </w:p>
        </w:tc>
        <w:tc>
          <w:tcPr>
            <w:tcW w:w="6143" w:type="dxa"/>
            <w:tcBorders>
              <w:top w:val="single" w:sz="4" w:space="0" w:color="auto"/>
              <w:left w:val="single" w:sz="4" w:space="0" w:color="auto"/>
            </w:tcBorders>
            <w:vAlign w:val="center"/>
          </w:tcPr>
          <w:p w14:paraId="60728F13" w14:textId="77777777" w:rsidR="001C2287" w:rsidRDefault="00000000">
            <w:pPr>
              <w:snapToGrid w:val="0"/>
              <w:spacing w:after="0" w:line="240" w:lineRule="auto"/>
              <w:jc w:val="center"/>
              <w:rPr>
                <w:rFonts w:ascii="楷体" w:eastAsia="楷体" w:hAnsi="楷体" w:cs="楷体" w:hint="eastAsia"/>
                <w:sz w:val="21"/>
                <w:szCs w:val="21"/>
              </w:rPr>
            </w:pPr>
            <w:r>
              <w:rPr>
                <w:rFonts w:ascii="楷体" w:eastAsia="楷体" w:hAnsi="楷体" w:cs="楷体" w:hint="eastAsia"/>
                <w:sz w:val="21"/>
                <w:szCs w:val="21"/>
              </w:rPr>
              <w:t>北京市、上海市</w:t>
            </w:r>
          </w:p>
        </w:tc>
      </w:tr>
      <w:tr w:rsidR="001C2287" w14:paraId="58B894DD" w14:textId="77777777">
        <w:trPr>
          <w:jc w:val="center"/>
        </w:trPr>
        <w:tc>
          <w:tcPr>
            <w:tcW w:w="2379" w:type="dxa"/>
            <w:tcBorders>
              <w:right w:val="single" w:sz="4" w:space="0" w:color="auto"/>
            </w:tcBorders>
            <w:vAlign w:val="center"/>
          </w:tcPr>
          <w:p w14:paraId="429D5DE5" w14:textId="77777777" w:rsidR="001C2287" w:rsidRDefault="00000000">
            <w:pPr>
              <w:snapToGrid w:val="0"/>
              <w:spacing w:after="0" w:line="240" w:lineRule="auto"/>
              <w:jc w:val="center"/>
              <w:rPr>
                <w:rFonts w:ascii="楷体" w:eastAsia="楷体" w:hAnsi="楷体" w:cs="楷体" w:hint="eastAsia"/>
                <w:sz w:val="21"/>
                <w:szCs w:val="21"/>
              </w:rPr>
            </w:pPr>
            <w:r>
              <w:rPr>
                <w:rFonts w:ascii="楷体" w:eastAsia="楷体" w:hAnsi="楷体" w:cs="楷体" w:hint="eastAsia"/>
                <w:sz w:val="21"/>
                <w:szCs w:val="21"/>
              </w:rPr>
              <w:t>中级人民法院及其辖区</w:t>
            </w:r>
            <w:proofErr w:type="gramStart"/>
            <w:r>
              <w:rPr>
                <w:rFonts w:ascii="楷体" w:eastAsia="楷体" w:hAnsi="楷体" w:cs="楷体" w:hint="eastAsia"/>
                <w:sz w:val="21"/>
                <w:szCs w:val="21"/>
              </w:rPr>
              <w:t>内基层</w:t>
            </w:r>
            <w:proofErr w:type="gramEnd"/>
            <w:r>
              <w:rPr>
                <w:rFonts w:ascii="楷体" w:eastAsia="楷体" w:hAnsi="楷体" w:cs="楷体" w:hint="eastAsia"/>
                <w:sz w:val="21"/>
                <w:szCs w:val="21"/>
              </w:rPr>
              <w:t>人民法院</w:t>
            </w:r>
          </w:p>
        </w:tc>
        <w:tc>
          <w:tcPr>
            <w:tcW w:w="6143" w:type="dxa"/>
            <w:tcBorders>
              <w:left w:val="single" w:sz="4" w:space="0" w:color="auto"/>
            </w:tcBorders>
            <w:vAlign w:val="center"/>
          </w:tcPr>
          <w:p w14:paraId="2A27ECEA" w14:textId="77777777" w:rsidR="001C2287" w:rsidRDefault="00000000">
            <w:pPr>
              <w:snapToGrid w:val="0"/>
              <w:spacing w:after="0" w:line="240" w:lineRule="auto"/>
              <w:jc w:val="center"/>
              <w:rPr>
                <w:rFonts w:ascii="楷体" w:eastAsia="楷体" w:hAnsi="楷体" w:cs="楷体" w:hint="eastAsia"/>
                <w:sz w:val="21"/>
                <w:szCs w:val="21"/>
              </w:rPr>
            </w:pPr>
            <w:r>
              <w:rPr>
                <w:rFonts w:ascii="楷体" w:eastAsia="楷体" w:hAnsi="楷体" w:cs="楷体" w:hint="eastAsia"/>
                <w:sz w:val="21"/>
                <w:szCs w:val="21"/>
              </w:rPr>
              <w:t>南京市、苏州市、杭州市、宁波市、合肥市、福州市、厦门市、济南市、郑州市、洛阳市、武汉市、广州市、深圳市、成都市、贵阳市、昆明市、西安市、银川市</w:t>
            </w:r>
          </w:p>
        </w:tc>
      </w:tr>
      <w:tr w:rsidR="001C2287" w14:paraId="6D71D52C" w14:textId="77777777">
        <w:trPr>
          <w:jc w:val="center"/>
        </w:trPr>
        <w:tc>
          <w:tcPr>
            <w:tcW w:w="2379" w:type="dxa"/>
            <w:tcBorders>
              <w:right w:val="single" w:sz="4" w:space="0" w:color="auto"/>
            </w:tcBorders>
            <w:vAlign w:val="center"/>
          </w:tcPr>
          <w:p w14:paraId="3C33C38B" w14:textId="77777777" w:rsidR="001C2287" w:rsidRDefault="00000000">
            <w:pPr>
              <w:snapToGrid w:val="0"/>
              <w:spacing w:after="0" w:line="240" w:lineRule="auto"/>
              <w:jc w:val="center"/>
              <w:rPr>
                <w:rFonts w:ascii="楷体" w:eastAsia="楷体" w:hAnsi="楷体" w:cs="楷体" w:hint="eastAsia"/>
                <w:sz w:val="21"/>
                <w:szCs w:val="21"/>
              </w:rPr>
            </w:pPr>
            <w:r>
              <w:rPr>
                <w:rFonts w:ascii="楷体" w:eastAsia="楷体" w:hAnsi="楷体" w:cs="楷体" w:hint="eastAsia"/>
                <w:sz w:val="21"/>
                <w:szCs w:val="21"/>
              </w:rPr>
              <w:t>知识产权法院</w:t>
            </w:r>
          </w:p>
        </w:tc>
        <w:tc>
          <w:tcPr>
            <w:tcW w:w="6143" w:type="dxa"/>
            <w:tcBorders>
              <w:left w:val="single" w:sz="4" w:space="0" w:color="auto"/>
            </w:tcBorders>
            <w:vAlign w:val="center"/>
          </w:tcPr>
          <w:p w14:paraId="28E17C7F" w14:textId="77777777" w:rsidR="001C2287" w:rsidRDefault="00000000">
            <w:pPr>
              <w:snapToGrid w:val="0"/>
              <w:spacing w:after="0" w:line="240" w:lineRule="auto"/>
              <w:jc w:val="center"/>
              <w:rPr>
                <w:rFonts w:ascii="楷体" w:eastAsia="楷体" w:hAnsi="楷体" w:cs="楷体" w:hint="eastAsia"/>
                <w:sz w:val="21"/>
                <w:szCs w:val="21"/>
              </w:rPr>
            </w:pPr>
            <w:r>
              <w:rPr>
                <w:rFonts w:ascii="楷体" w:eastAsia="楷体" w:hAnsi="楷体" w:cs="楷体" w:hint="eastAsia"/>
                <w:sz w:val="21"/>
                <w:szCs w:val="21"/>
              </w:rPr>
              <w:t>北京市、上海市、广州市</w:t>
            </w:r>
          </w:p>
        </w:tc>
      </w:tr>
      <w:tr w:rsidR="001C2287" w14:paraId="14B75E3E" w14:textId="77777777">
        <w:trPr>
          <w:jc w:val="center"/>
        </w:trPr>
        <w:tc>
          <w:tcPr>
            <w:tcW w:w="2379" w:type="dxa"/>
            <w:tcBorders>
              <w:right w:val="single" w:sz="4" w:space="0" w:color="auto"/>
            </w:tcBorders>
            <w:vAlign w:val="center"/>
          </w:tcPr>
          <w:p w14:paraId="430BEC4D" w14:textId="77777777" w:rsidR="001C2287" w:rsidRDefault="00000000">
            <w:pPr>
              <w:snapToGrid w:val="0"/>
              <w:spacing w:after="0" w:line="240" w:lineRule="auto"/>
              <w:jc w:val="center"/>
              <w:rPr>
                <w:rFonts w:ascii="楷体" w:eastAsia="楷体" w:hAnsi="楷体" w:cs="楷体" w:hint="eastAsia"/>
                <w:sz w:val="21"/>
                <w:szCs w:val="21"/>
              </w:rPr>
            </w:pPr>
            <w:r>
              <w:rPr>
                <w:rFonts w:ascii="楷体" w:eastAsia="楷体" w:hAnsi="楷体" w:cs="楷体" w:hint="eastAsia"/>
                <w:sz w:val="21"/>
                <w:szCs w:val="21"/>
              </w:rPr>
              <w:t>金融法院</w:t>
            </w:r>
          </w:p>
        </w:tc>
        <w:tc>
          <w:tcPr>
            <w:tcW w:w="6143" w:type="dxa"/>
            <w:tcBorders>
              <w:left w:val="single" w:sz="4" w:space="0" w:color="auto"/>
            </w:tcBorders>
            <w:vAlign w:val="center"/>
          </w:tcPr>
          <w:p w14:paraId="3B750E6E" w14:textId="77777777" w:rsidR="001C2287" w:rsidRDefault="00000000">
            <w:pPr>
              <w:snapToGrid w:val="0"/>
              <w:spacing w:after="0" w:line="240" w:lineRule="auto"/>
              <w:jc w:val="center"/>
              <w:rPr>
                <w:rFonts w:ascii="楷体" w:eastAsia="楷体" w:hAnsi="楷体" w:cs="楷体" w:hint="eastAsia"/>
                <w:sz w:val="21"/>
                <w:szCs w:val="21"/>
              </w:rPr>
            </w:pPr>
            <w:r>
              <w:rPr>
                <w:rFonts w:ascii="楷体" w:eastAsia="楷体" w:hAnsi="楷体" w:cs="楷体" w:hint="eastAsia"/>
                <w:sz w:val="21"/>
                <w:szCs w:val="21"/>
              </w:rPr>
              <w:t>上海市</w:t>
            </w:r>
          </w:p>
        </w:tc>
      </w:tr>
      <w:tr w:rsidR="001C2287" w14:paraId="2AFCC9E8" w14:textId="77777777">
        <w:trPr>
          <w:jc w:val="center"/>
        </w:trPr>
        <w:tc>
          <w:tcPr>
            <w:tcW w:w="2379" w:type="dxa"/>
            <w:tcBorders>
              <w:bottom w:val="single" w:sz="4" w:space="0" w:color="auto"/>
              <w:right w:val="single" w:sz="4" w:space="0" w:color="auto"/>
            </w:tcBorders>
            <w:vAlign w:val="center"/>
          </w:tcPr>
          <w:p w14:paraId="59A7208D" w14:textId="77777777" w:rsidR="001C2287" w:rsidRDefault="00000000">
            <w:pPr>
              <w:snapToGrid w:val="0"/>
              <w:spacing w:after="0" w:line="240" w:lineRule="auto"/>
              <w:jc w:val="center"/>
              <w:rPr>
                <w:rFonts w:ascii="楷体" w:eastAsia="楷体" w:hAnsi="楷体" w:cs="楷体" w:hint="eastAsia"/>
                <w:sz w:val="21"/>
                <w:szCs w:val="21"/>
              </w:rPr>
            </w:pPr>
            <w:r>
              <w:rPr>
                <w:rFonts w:ascii="楷体" w:eastAsia="楷体" w:hAnsi="楷体" w:cs="楷体" w:hint="eastAsia"/>
                <w:sz w:val="21"/>
                <w:szCs w:val="21"/>
              </w:rPr>
              <w:t>互联网法院</w:t>
            </w:r>
          </w:p>
        </w:tc>
        <w:tc>
          <w:tcPr>
            <w:tcW w:w="6143" w:type="dxa"/>
            <w:tcBorders>
              <w:left w:val="single" w:sz="4" w:space="0" w:color="auto"/>
              <w:bottom w:val="single" w:sz="4" w:space="0" w:color="auto"/>
            </w:tcBorders>
            <w:vAlign w:val="center"/>
          </w:tcPr>
          <w:p w14:paraId="7B98AB9E" w14:textId="77777777" w:rsidR="001C2287" w:rsidRDefault="00000000">
            <w:pPr>
              <w:snapToGrid w:val="0"/>
              <w:spacing w:after="0" w:line="240" w:lineRule="auto"/>
              <w:jc w:val="center"/>
              <w:rPr>
                <w:rFonts w:ascii="楷体" w:eastAsia="楷体" w:hAnsi="楷体" w:cs="楷体" w:hint="eastAsia"/>
                <w:sz w:val="21"/>
                <w:szCs w:val="21"/>
              </w:rPr>
            </w:pPr>
            <w:r>
              <w:rPr>
                <w:rFonts w:ascii="楷体" w:eastAsia="楷体" w:hAnsi="楷体" w:cs="楷体" w:hint="eastAsia"/>
                <w:sz w:val="21"/>
                <w:szCs w:val="21"/>
              </w:rPr>
              <w:t>北京市、杭州市、广州市</w:t>
            </w:r>
          </w:p>
        </w:tc>
      </w:tr>
    </w:tbl>
    <w:p w14:paraId="3EDA8659" w14:textId="77777777" w:rsidR="001C2287" w:rsidRDefault="00000000">
      <w:pPr>
        <w:spacing w:after="0" w:line="240" w:lineRule="auto"/>
        <w:jc w:val="both"/>
        <w:rPr>
          <w:rFonts w:ascii="楷体" w:eastAsia="楷体" w:hAnsi="楷体" w:cs="楷体" w:hint="eastAsia"/>
          <w:sz w:val="18"/>
          <w:szCs w:val="18"/>
        </w:rPr>
      </w:pPr>
      <w:r>
        <w:rPr>
          <w:rFonts w:ascii="黑体" w:eastAsia="黑体" w:hAnsi="黑体" w:cs="黑体" w:hint="eastAsia"/>
          <w:sz w:val="18"/>
          <w:szCs w:val="18"/>
        </w:rPr>
        <w:t>数据来源：</w:t>
      </w:r>
      <w:r>
        <w:rPr>
          <w:rFonts w:ascii="楷体" w:eastAsia="楷体" w:hAnsi="楷体" w:cs="楷体" w:hint="eastAsia"/>
          <w:sz w:val="18"/>
          <w:szCs w:val="18"/>
        </w:rPr>
        <w:t>基于全国人大及最高人民法院</w:t>
      </w:r>
      <w:r>
        <w:rPr>
          <w:rFonts w:ascii="Times New Roman" w:eastAsia="楷体" w:hAnsi="Times New Roman" w:cs="Times New Roman"/>
          <w:sz w:val="18"/>
          <w:szCs w:val="18"/>
        </w:rPr>
        <w:t xml:space="preserve">2020 </w:t>
      </w:r>
      <w:r>
        <w:rPr>
          <w:rFonts w:ascii="Times New Roman" w:eastAsia="楷体" w:hAnsi="Times New Roman" w:cs="Times New Roman"/>
          <w:sz w:val="18"/>
          <w:szCs w:val="18"/>
        </w:rPr>
        <w:t>年</w:t>
      </w:r>
      <w:r>
        <w:rPr>
          <w:rFonts w:ascii="Times New Roman" w:eastAsia="楷体" w:hAnsi="Times New Roman" w:cs="Times New Roman"/>
          <w:sz w:val="18"/>
          <w:szCs w:val="18"/>
        </w:rPr>
        <w:t xml:space="preserve"> 1</w:t>
      </w:r>
      <w:r>
        <w:rPr>
          <w:rFonts w:ascii="Times New Roman" w:eastAsia="楷体" w:hAnsi="Times New Roman" w:cs="Times New Roman"/>
          <w:sz w:val="18"/>
          <w:szCs w:val="18"/>
        </w:rPr>
        <w:t>月</w:t>
      </w:r>
      <w:r>
        <w:rPr>
          <w:rFonts w:ascii="Times New Roman" w:eastAsia="楷体" w:hAnsi="Times New Roman" w:cs="Times New Roman"/>
          <w:sz w:val="18"/>
          <w:szCs w:val="18"/>
        </w:rPr>
        <w:t xml:space="preserve"> 15</w:t>
      </w:r>
      <w:r>
        <w:rPr>
          <w:rFonts w:ascii="楷体" w:eastAsia="楷体" w:hAnsi="楷体" w:cs="楷体" w:hint="eastAsia"/>
          <w:sz w:val="18"/>
          <w:szCs w:val="18"/>
        </w:rPr>
        <w:t>日印发的《民事诉讼程序繁简分流改革试点方案》整理得到，试点期限为二年。</w:t>
      </w:r>
    </w:p>
    <w:p w14:paraId="6060DF98" w14:textId="77777777" w:rsidR="001C2287" w:rsidRDefault="001C2287">
      <w:pPr>
        <w:spacing w:after="0" w:line="400" w:lineRule="exact"/>
        <w:jc w:val="both"/>
        <w:rPr>
          <w:rFonts w:ascii="仿宋" w:eastAsia="仿宋" w:hAnsi="仿宋" w:cs="Times New Roman" w:hint="eastAsia"/>
          <w:b/>
          <w:kern w:val="0"/>
          <w:sz w:val="28"/>
          <w:szCs w:val="28"/>
          <w14:ligatures w14:val="none"/>
        </w:rPr>
      </w:pPr>
    </w:p>
    <w:p w14:paraId="7F6EAD32" w14:textId="77777777" w:rsidR="001C2287" w:rsidRDefault="00000000">
      <w:pPr>
        <w:pStyle w:val="1"/>
        <w:spacing w:before="0" w:after="0" w:line="240" w:lineRule="auto"/>
        <w:jc w:val="center"/>
        <w:rPr>
          <w:rFonts w:ascii="仿宋" w:eastAsia="仿宋" w:hAnsi="仿宋" w:cs="Times New Roman" w:hint="eastAsia"/>
          <w:b/>
          <w:color w:val="auto"/>
          <w:kern w:val="0"/>
          <w:sz w:val="28"/>
          <w:szCs w:val="28"/>
          <w14:ligatures w14:val="none"/>
        </w:rPr>
      </w:pPr>
      <w:bookmarkStart w:id="0" w:name="_Hlk215512942"/>
      <w:r>
        <w:rPr>
          <w:rFonts w:ascii="仿宋" w:eastAsia="仿宋" w:hAnsi="仿宋" w:cs="Times New Roman" w:hint="eastAsia"/>
          <w:b/>
          <w:color w:val="auto"/>
          <w:kern w:val="0"/>
          <w:sz w:val="28"/>
          <w:szCs w:val="28"/>
          <w14:ligatures w14:val="none"/>
        </w:rPr>
        <w:t>附录</w:t>
      </w:r>
      <w:r>
        <w:rPr>
          <w:rFonts w:ascii="Times New Roman" w:eastAsia="仿宋" w:hAnsi="Times New Roman" w:cs="Times New Roman"/>
          <w:b/>
          <w:color w:val="auto"/>
          <w:kern w:val="0"/>
          <w:sz w:val="28"/>
          <w:szCs w:val="28"/>
          <w14:ligatures w14:val="none"/>
        </w:rPr>
        <w:t xml:space="preserve">2 </w:t>
      </w:r>
      <w:r>
        <w:rPr>
          <w:rFonts w:ascii="仿宋" w:eastAsia="仿宋" w:hAnsi="仿宋" w:cs="Times New Roman" w:hint="eastAsia"/>
          <w:b/>
          <w:color w:val="auto"/>
          <w:kern w:val="0"/>
          <w:sz w:val="28"/>
          <w:szCs w:val="28"/>
          <w14:ligatures w14:val="none"/>
        </w:rPr>
        <w:t>稳健性检验</w:t>
      </w:r>
    </w:p>
    <w:bookmarkEnd w:id="0"/>
    <w:p w14:paraId="53F75558" w14:textId="77777777" w:rsidR="001C2287" w:rsidRDefault="00000000">
      <w:pPr>
        <w:spacing w:after="0" w:line="400" w:lineRule="exact"/>
        <w:ind w:firstLineChars="200" w:firstLine="422"/>
        <w:jc w:val="both"/>
        <w:rPr>
          <w:rFonts w:ascii="Times New Roman" w:eastAsia="黑体" w:hAnsi="Times New Roman" w:cs="Times New Roman"/>
          <w:b/>
          <w:bCs/>
          <w:sz w:val="21"/>
          <w:szCs w:val="22"/>
          <w14:ligatures w14:val="none"/>
        </w:rPr>
      </w:pPr>
      <w:r>
        <w:rPr>
          <w:rFonts w:ascii="Times New Roman" w:eastAsia="黑体" w:hAnsi="Times New Roman" w:cs="Times New Roman" w:hint="eastAsia"/>
          <w:b/>
          <w:bCs/>
          <w:sz w:val="21"/>
          <w:szCs w:val="22"/>
          <w14:ligatures w14:val="none"/>
        </w:rPr>
        <w:t>1.</w:t>
      </w:r>
      <w:r>
        <w:rPr>
          <w:rFonts w:ascii="Times New Roman" w:eastAsia="黑体" w:hAnsi="Times New Roman" w:cs="Times New Roman" w:hint="eastAsia"/>
          <w:b/>
          <w:bCs/>
          <w:sz w:val="21"/>
          <w:szCs w:val="22"/>
          <w14:ligatures w14:val="none"/>
        </w:rPr>
        <w:t>平行趋势敏感性检验</w:t>
      </w:r>
    </w:p>
    <w:p w14:paraId="5291E650" w14:textId="77777777" w:rsidR="001C2287" w:rsidRDefault="00000000">
      <w:pPr>
        <w:spacing w:after="0" w:line="400" w:lineRule="exact"/>
        <w:ind w:firstLineChars="200" w:firstLine="420"/>
        <w:jc w:val="both"/>
        <w:rPr>
          <w:rFonts w:ascii="Times New Roman" w:eastAsia="宋体" w:hAnsi="Times New Roman" w:cs="Times New Roman"/>
          <w:sz w:val="21"/>
          <w:szCs w:val="21"/>
        </w:rPr>
      </w:pPr>
      <w:r>
        <w:rPr>
          <w:rFonts w:ascii="宋体" w:eastAsia="宋体" w:hAnsi="宋体" w:hint="eastAsia"/>
          <w:sz w:val="21"/>
          <w:szCs w:val="21"/>
        </w:rPr>
        <w:t>最新研究表明，传统针对平行趋势假设的检验在统计上是低功效的，有可能造成估计偏差，使得传统检验结果不能作为实验组和对照</w:t>
      </w:r>
      <w:proofErr w:type="gramStart"/>
      <w:r>
        <w:rPr>
          <w:rFonts w:ascii="宋体" w:eastAsia="宋体" w:hAnsi="宋体" w:hint="eastAsia"/>
          <w:sz w:val="21"/>
          <w:szCs w:val="21"/>
        </w:rPr>
        <w:t>组存在</w:t>
      </w:r>
      <w:proofErr w:type="gramEnd"/>
      <w:r>
        <w:rPr>
          <w:rFonts w:ascii="宋体" w:eastAsia="宋体" w:hAnsi="宋体" w:hint="eastAsia"/>
          <w:sz w:val="21"/>
          <w:szCs w:val="21"/>
        </w:rPr>
        <w:t>事前平行趋势的有效证据（</w:t>
      </w:r>
      <w:r>
        <w:rPr>
          <w:rFonts w:ascii="Times New Roman" w:eastAsia="宋体" w:hAnsi="Times New Roman" w:cs="Times New Roman"/>
          <w:sz w:val="21"/>
          <w:szCs w:val="21"/>
        </w:rPr>
        <w:t>Roth</w:t>
      </w:r>
      <w:r>
        <w:rPr>
          <w:rFonts w:ascii="Times New Roman" w:eastAsia="宋体" w:hAnsi="Times New Roman" w:cs="Times New Roman"/>
          <w:sz w:val="21"/>
          <w:szCs w:val="21"/>
        </w:rPr>
        <w:t>等，</w:t>
      </w:r>
      <w:r>
        <w:rPr>
          <w:rFonts w:ascii="Times New Roman" w:eastAsia="宋体" w:hAnsi="Times New Roman" w:cs="Times New Roman"/>
          <w:sz w:val="21"/>
          <w:szCs w:val="21"/>
        </w:rPr>
        <w:t>202</w:t>
      </w:r>
      <w:r>
        <w:rPr>
          <w:rFonts w:ascii="Times New Roman" w:eastAsia="宋体" w:hAnsi="Times New Roman" w:cs="Times New Roman" w:hint="eastAsia"/>
          <w:sz w:val="21"/>
          <w:szCs w:val="21"/>
        </w:rPr>
        <w:t>3</w:t>
      </w:r>
      <w:r>
        <w:rPr>
          <w:rFonts w:ascii="宋体" w:eastAsia="宋体" w:hAnsi="宋体" w:hint="eastAsia"/>
          <w:sz w:val="21"/>
          <w:szCs w:val="21"/>
        </w:rPr>
        <w:t>）。而平行趋势检验又是证明双重差分法</w:t>
      </w:r>
      <w:r>
        <w:rPr>
          <w:rFonts w:ascii="Times New Roman" w:eastAsia="宋体" w:hAnsi="Times New Roman" w:cs="Times New Roman" w:hint="eastAsia"/>
          <w:sz w:val="21"/>
          <w:szCs w:val="21"/>
        </w:rPr>
        <w:t>适用性</w:t>
      </w:r>
      <w:r>
        <w:rPr>
          <w:rFonts w:ascii="宋体" w:eastAsia="宋体" w:hAnsi="宋体" w:hint="eastAsia"/>
          <w:sz w:val="21"/>
          <w:szCs w:val="21"/>
        </w:rPr>
        <w:t>的关键工具，因此，为了证明本文平行趋势检验是稳健的，我们借鉴</w:t>
      </w:r>
      <w:r>
        <w:rPr>
          <w:rFonts w:ascii="Times New Roman" w:eastAsia="宋体" w:hAnsi="Times New Roman" w:cs="Times New Roman"/>
          <w:sz w:val="21"/>
          <w:szCs w:val="21"/>
        </w:rPr>
        <w:t>许文立</w:t>
      </w:r>
      <w:r>
        <w:rPr>
          <w:rFonts w:ascii="Times New Roman" w:eastAsia="宋体" w:hAnsi="Times New Roman" w:cs="Times New Roman" w:hint="eastAsia"/>
          <w:sz w:val="21"/>
          <w:szCs w:val="21"/>
        </w:rPr>
        <w:t>和</w:t>
      </w:r>
      <w:r>
        <w:rPr>
          <w:rFonts w:ascii="Times New Roman" w:eastAsia="宋体" w:hAnsi="Times New Roman" w:cs="Times New Roman"/>
          <w:sz w:val="21"/>
          <w:szCs w:val="21"/>
        </w:rPr>
        <w:t>孙磊</w:t>
      </w:r>
      <w:r>
        <w:rPr>
          <w:rFonts w:ascii="Times New Roman" w:eastAsia="宋体" w:hAnsi="Times New Roman" w:cs="Times New Roman" w:hint="eastAsia"/>
          <w:sz w:val="21"/>
          <w:szCs w:val="21"/>
        </w:rPr>
        <w:t>（</w:t>
      </w:r>
      <w:r>
        <w:rPr>
          <w:rFonts w:ascii="Times New Roman" w:eastAsia="宋体" w:hAnsi="Times New Roman" w:cs="Times New Roman" w:hint="eastAsia"/>
          <w:sz w:val="21"/>
          <w:szCs w:val="21"/>
        </w:rPr>
        <w:t>2023</w:t>
      </w:r>
      <w:r>
        <w:rPr>
          <w:rFonts w:ascii="Times New Roman" w:eastAsia="宋体" w:hAnsi="Times New Roman" w:cs="Times New Roman" w:hint="eastAsia"/>
          <w:sz w:val="21"/>
          <w:szCs w:val="21"/>
        </w:rPr>
        <w:t>）的做法，计算在相对偏离程度限制和平滑限制下政策实施年处理效应的平行趋势敏感性检验结果，具体见图</w:t>
      </w:r>
      <w:r>
        <w:rPr>
          <w:rFonts w:ascii="Times New Roman" w:eastAsia="宋体" w:hAnsi="Times New Roman" w:cs="Times New Roman" w:hint="eastAsia"/>
          <w:sz w:val="21"/>
          <w:szCs w:val="21"/>
        </w:rPr>
        <w:t>A1</w:t>
      </w:r>
      <w:r>
        <w:rPr>
          <w:rFonts w:ascii="Times New Roman" w:eastAsia="宋体" w:hAnsi="Times New Roman" w:cs="Times New Roman" w:hint="eastAsia"/>
          <w:sz w:val="21"/>
          <w:szCs w:val="21"/>
        </w:rPr>
        <w:t>。结果表明，相对偏离程度限制下“繁简分流”改革对企业跨区域合作创新的推动作用十分稳健；平滑限制下，处理</w:t>
      </w:r>
      <w:proofErr w:type="gramStart"/>
      <w:r>
        <w:rPr>
          <w:rFonts w:ascii="Times New Roman" w:eastAsia="宋体" w:hAnsi="Times New Roman" w:cs="Times New Roman" w:hint="eastAsia"/>
          <w:sz w:val="21"/>
          <w:szCs w:val="21"/>
        </w:rPr>
        <w:t>前趋势</w:t>
      </w:r>
      <w:proofErr w:type="gramEnd"/>
      <w:r>
        <w:rPr>
          <w:rFonts w:ascii="Times New Roman" w:eastAsia="宋体" w:hAnsi="Times New Roman" w:cs="Times New Roman" w:hint="eastAsia"/>
          <w:sz w:val="21"/>
          <w:szCs w:val="21"/>
        </w:rPr>
        <w:t>偏差</w:t>
      </w:r>
      <w:r>
        <w:rPr>
          <w:rFonts w:ascii="Times New Roman" w:eastAsia="宋体" w:hAnsi="Times New Roman" w:cs="Times New Roman" w:hint="eastAsia"/>
          <w:sz w:val="21"/>
          <w:szCs w:val="21"/>
        </w:rPr>
        <w:t>40%</w:t>
      </w:r>
      <w:r>
        <w:rPr>
          <w:rFonts w:ascii="Times New Roman" w:eastAsia="宋体" w:hAnsi="Times New Roman" w:cs="Times New Roman" w:hint="eastAsia"/>
          <w:sz w:val="21"/>
          <w:szCs w:val="21"/>
        </w:rPr>
        <w:t>时，“繁简分流”改革的作用也比较稳健。上述结果说明，即使平行趋势出现一定偏差，本文使用的双重差分模型依旧具有适用性</w:t>
      </w:r>
      <w:r>
        <w:rPr>
          <w:rStyle w:val="a7"/>
          <w:rFonts w:ascii="Times New Roman" w:eastAsia="宋体" w:hAnsi="Times New Roman" w:cs="Times New Roman"/>
          <w:sz w:val="21"/>
          <w:szCs w:val="21"/>
        </w:rPr>
        <w:footnoteReference w:id="1"/>
      </w:r>
      <w:r>
        <w:rPr>
          <w:rFonts w:ascii="Times New Roman" w:eastAsia="宋体" w:hAnsi="Times New Roman" w:cs="Times New Roman" w:hint="eastAsia"/>
          <w:sz w:val="21"/>
          <w:szCs w:val="21"/>
        </w:rPr>
        <w:t>。</w:t>
      </w:r>
    </w:p>
    <w:p w14:paraId="423D60A1" w14:textId="77777777" w:rsidR="001C2287" w:rsidRDefault="00000000">
      <w:pPr>
        <w:spacing w:after="0" w:line="400" w:lineRule="exact"/>
        <w:jc w:val="both"/>
        <w:rPr>
          <w:rFonts w:ascii="Times New Roman" w:eastAsia="宋体" w:hAnsi="Times New Roman" w:cs="Times New Roman"/>
          <w:sz w:val="21"/>
          <w:szCs w:val="21"/>
        </w:rPr>
      </w:pPr>
      <w:r>
        <w:rPr>
          <w:rFonts w:ascii="Times New Roman" w:eastAsia="宋体" w:hAnsi="Times New Roman" w:cs="Times New Roman"/>
          <w:noProof/>
          <w:sz w:val="21"/>
          <w:szCs w:val="21"/>
        </w:rPr>
        <w:drawing>
          <wp:anchor distT="0" distB="0" distL="114300" distR="114300" simplePos="0" relativeHeight="251661312" behindDoc="0" locked="0" layoutInCell="1" allowOverlap="1" wp14:anchorId="52FA4ECB" wp14:editId="67ADA7F2">
            <wp:simplePos x="0" y="0"/>
            <wp:positionH relativeFrom="margin">
              <wp:posOffset>2670810</wp:posOffset>
            </wp:positionH>
            <wp:positionV relativeFrom="paragraph">
              <wp:posOffset>33655</wp:posOffset>
            </wp:positionV>
            <wp:extent cx="2544445" cy="1850390"/>
            <wp:effectExtent l="0" t="0" r="635" b="8890"/>
            <wp:wrapNone/>
            <wp:docPr id="203019694" name="图片 2"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19694" name="图片 2" descr="图表, 直方图&#10;&#10;AI 生成的内容可能不正确。"/>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544299" cy="1850400"/>
                    </a:xfrm>
                    <a:prstGeom prst="rect">
                      <a:avLst/>
                    </a:prstGeom>
                  </pic:spPr>
                </pic:pic>
              </a:graphicData>
            </a:graphic>
          </wp:anchor>
        </w:drawing>
      </w:r>
      <w:r>
        <w:rPr>
          <w:rFonts w:ascii="Times New Roman" w:eastAsia="宋体" w:hAnsi="Times New Roman" w:cs="Times New Roman"/>
          <w:noProof/>
          <w:sz w:val="21"/>
          <w:szCs w:val="21"/>
        </w:rPr>
        <w:drawing>
          <wp:anchor distT="0" distB="0" distL="114300" distR="114300" simplePos="0" relativeHeight="251660288" behindDoc="0" locked="0" layoutInCell="1" allowOverlap="1" wp14:anchorId="0C10E5D4" wp14:editId="7F4DB39A">
            <wp:simplePos x="0" y="0"/>
            <wp:positionH relativeFrom="column">
              <wp:posOffset>-110490</wp:posOffset>
            </wp:positionH>
            <wp:positionV relativeFrom="paragraph">
              <wp:posOffset>51435</wp:posOffset>
            </wp:positionV>
            <wp:extent cx="2545715" cy="1851660"/>
            <wp:effectExtent l="0" t="0" r="14605" b="7620"/>
            <wp:wrapNone/>
            <wp:docPr id="760233045" name="图片 1"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233045" name="图片 1" descr="图表, 直方图&#10;&#10;AI 生成的内容可能不正确。"/>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545690" cy="1851411"/>
                    </a:xfrm>
                    <a:prstGeom prst="rect">
                      <a:avLst/>
                    </a:prstGeom>
                  </pic:spPr>
                </pic:pic>
              </a:graphicData>
            </a:graphic>
          </wp:anchor>
        </w:drawing>
      </w:r>
    </w:p>
    <w:p w14:paraId="47B0EAF6" w14:textId="77777777" w:rsidR="001C2287" w:rsidRDefault="001C2287">
      <w:pPr>
        <w:spacing w:after="0" w:line="400" w:lineRule="exact"/>
        <w:jc w:val="both"/>
        <w:rPr>
          <w:rFonts w:ascii="Times New Roman" w:eastAsia="宋体" w:hAnsi="Times New Roman" w:cs="Times New Roman"/>
          <w:sz w:val="21"/>
          <w:szCs w:val="21"/>
        </w:rPr>
      </w:pPr>
    </w:p>
    <w:p w14:paraId="6932BD7A" w14:textId="77777777" w:rsidR="001C2287" w:rsidRDefault="001C2287">
      <w:pPr>
        <w:spacing w:after="0" w:line="400" w:lineRule="exact"/>
        <w:jc w:val="both"/>
        <w:rPr>
          <w:rFonts w:ascii="Times New Roman" w:eastAsia="宋体" w:hAnsi="Times New Roman" w:cs="Times New Roman"/>
          <w:sz w:val="21"/>
          <w:szCs w:val="21"/>
        </w:rPr>
      </w:pPr>
    </w:p>
    <w:p w14:paraId="5A9BD08E" w14:textId="77777777" w:rsidR="001C2287" w:rsidRDefault="001C2287">
      <w:pPr>
        <w:spacing w:after="0" w:line="400" w:lineRule="exact"/>
        <w:jc w:val="both"/>
        <w:rPr>
          <w:rFonts w:ascii="Times New Roman" w:eastAsia="宋体" w:hAnsi="Times New Roman" w:cs="Times New Roman"/>
          <w:sz w:val="21"/>
          <w:szCs w:val="21"/>
        </w:rPr>
      </w:pPr>
    </w:p>
    <w:p w14:paraId="269CAC42" w14:textId="77777777" w:rsidR="001C2287" w:rsidRDefault="001C2287">
      <w:pPr>
        <w:spacing w:after="0" w:line="400" w:lineRule="exact"/>
        <w:jc w:val="both"/>
        <w:rPr>
          <w:rFonts w:ascii="Times New Roman" w:eastAsia="宋体" w:hAnsi="Times New Roman" w:cs="Times New Roman"/>
          <w:sz w:val="21"/>
          <w:szCs w:val="21"/>
        </w:rPr>
      </w:pPr>
    </w:p>
    <w:p w14:paraId="63891D31" w14:textId="77777777" w:rsidR="001C2287" w:rsidRDefault="001C2287">
      <w:pPr>
        <w:spacing w:after="0" w:line="400" w:lineRule="exact"/>
        <w:jc w:val="both"/>
        <w:rPr>
          <w:rFonts w:ascii="Times New Roman" w:eastAsia="宋体" w:hAnsi="Times New Roman" w:cs="Times New Roman"/>
          <w:sz w:val="21"/>
          <w:szCs w:val="21"/>
        </w:rPr>
      </w:pPr>
    </w:p>
    <w:p w14:paraId="1E31CA01" w14:textId="77777777" w:rsidR="001C2287" w:rsidRDefault="001C2287">
      <w:pPr>
        <w:spacing w:after="0" w:line="400" w:lineRule="exact"/>
        <w:jc w:val="both"/>
        <w:rPr>
          <w:rFonts w:ascii="Times New Roman" w:eastAsia="宋体" w:hAnsi="Times New Roman" w:cs="Times New Roman"/>
          <w:sz w:val="21"/>
          <w:szCs w:val="21"/>
        </w:rPr>
      </w:pPr>
    </w:p>
    <w:p w14:paraId="771F3CBC" w14:textId="77777777" w:rsidR="001C2287" w:rsidRDefault="00000000">
      <w:pPr>
        <w:spacing w:after="0" w:line="400" w:lineRule="exact"/>
        <w:jc w:val="both"/>
        <w:rPr>
          <w:rFonts w:ascii="Times New Roman" w:eastAsia="宋体" w:hAnsi="Times New Roman" w:cs="Times New Roman"/>
          <w:sz w:val="21"/>
          <w:szCs w:val="21"/>
        </w:rPr>
      </w:pPr>
      <w:r>
        <w:rPr>
          <w:rFonts w:ascii="Times New Roman" w:eastAsia="宋体" w:hAnsi="Times New Roman" w:cs="Times New Roman"/>
          <w:noProof/>
          <w:sz w:val="21"/>
          <w:szCs w:val="21"/>
        </w:rPr>
        <mc:AlternateContent>
          <mc:Choice Requires="wps">
            <w:drawing>
              <wp:anchor distT="0" distB="0" distL="114300" distR="114300" simplePos="0" relativeHeight="251662336" behindDoc="0" locked="0" layoutInCell="1" allowOverlap="1" wp14:anchorId="62F026FC" wp14:editId="32147E1F">
                <wp:simplePos x="0" y="0"/>
                <wp:positionH relativeFrom="column">
                  <wp:posOffset>240030</wp:posOffset>
                </wp:positionH>
                <wp:positionV relativeFrom="paragraph">
                  <wp:posOffset>102235</wp:posOffset>
                </wp:positionV>
                <wp:extent cx="4718050" cy="241300"/>
                <wp:effectExtent l="0" t="0" r="6350" b="2540"/>
                <wp:wrapNone/>
                <wp:docPr id="695231558" name="文本框 3"/>
                <wp:cNvGraphicFramePr/>
                <a:graphic xmlns:a="http://schemas.openxmlformats.org/drawingml/2006/main">
                  <a:graphicData uri="http://schemas.microsoft.com/office/word/2010/wordprocessingShape">
                    <wps:wsp>
                      <wps:cNvSpPr txBox="1"/>
                      <wps:spPr>
                        <a:xfrm>
                          <a:off x="0" y="0"/>
                          <a:ext cx="4718050" cy="241300"/>
                        </a:xfrm>
                        <a:prstGeom prst="rect">
                          <a:avLst/>
                        </a:prstGeom>
                        <a:solidFill>
                          <a:schemeClr val="lt1"/>
                        </a:solidFill>
                        <a:ln w="6350">
                          <a:noFill/>
                        </a:ln>
                      </wps:spPr>
                      <wps:txbx>
                        <w:txbxContent>
                          <w:p w14:paraId="142FB9DD" w14:textId="77777777" w:rsidR="001C2287" w:rsidRDefault="00000000">
                            <w:pPr>
                              <w:spacing w:after="0" w:line="240" w:lineRule="exact"/>
                              <w:jc w:val="center"/>
                              <w:rPr>
                                <w:rFonts w:ascii="Times New Roman" w:eastAsia="黑体" w:hAnsi="Times New Roman" w:cstheme="majorBidi"/>
                                <w:b/>
                                <w:bCs/>
                                <w:sz w:val="21"/>
                                <w:szCs w:val="21"/>
                                <w14:ligatures w14:val="none"/>
                              </w:rPr>
                            </w:pPr>
                            <w:r>
                              <w:rPr>
                                <w:rFonts w:ascii="Times New Roman" w:eastAsia="黑体" w:hAnsi="Times New Roman" w:cstheme="majorBidi" w:hint="eastAsia"/>
                                <w:b/>
                                <w:bCs/>
                                <w:sz w:val="21"/>
                                <w:szCs w:val="21"/>
                                <w14:ligatures w14:val="none"/>
                              </w:rPr>
                              <w:t>图</w:t>
                            </w:r>
                            <w:r>
                              <w:rPr>
                                <w:rFonts w:ascii="Times New Roman" w:eastAsia="黑体" w:hAnsi="Times New Roman" w:cstheme="majorBidi" w:hint="eastAsia"/>
                                <w:b/>
                                <w:bCs/>
                                <w:sz w:val="21"/>
                                <w:szCs w:val="21"/>
                                <w14:ligatures w14:val="none"/>
                              </w:rPr>
                              <w:t xml:space="preserve">A1 </w:t>
                            </w:r>
                            <w:bookmarkStart w:id="1" w:name="OLE_LINK4"/>
                            <w:r>
                              <w:rPr>
                                <w:rFonts w:ascii="Times New Roman" w:eastAsia="黑体" w:hAnsi="Times New Roman" w:cstheme="majorBidi" w:hint="eastAsia"/>
                                <w:b/>
                                <w:bCs/>
                                <w:sz w:val="21"/>
                                <w:szCs w:val="21"/>
                                <w14:ligatures w14:val="none"/>
                              </w:rPr>
                              <w:t>平行趋势敏感性检验</w:t>
                            </w:r>
                            <w:bookmarkEnd w:id="1"/>
                          </w:p>
                          <w:p w14:paraId="05FA1F31" w14:textId="77777777" w:rsidR="001C2287" w:rsidRDefault="001C2287">
                            <w:pPr>
                              <w:spacing w:after="0" w:line="240" w:lineRule="exact"/>
                              <w:jc w:val="center"/>
                              <w:rPr>
                                <w:rFonts w:ascii="宋体" w:eastAsia="宋体" w:hAnsi="宋体" w:hint="eastAsia"/>
                                <w:sz w:val="21"/>
                                <w:szCs w:val="21"/>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2F026FC" id="_x0000_t202" coordsize="21600,21600" o:spt="202" path="m,l,21600r21600,l21600,xe">
                <v:stroke joinstyle="miter"/>
                <v:path gradientshapeok="t" o:connecttype="rect"/>
              </v:shapetype>
              <v:shape id="文本框 3" o:spid="_x0000_s1026" type="#_x0000_t202" style="position:absolute;left:0;text-align:left;margin-left:18.9pt;margin-top:8.05pt;width:371.5pt;height:19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" fillcolor="white [3201]" stroked="f" strokeweight=".5pt">
                <v:textbox>
                  <w:txbxContent>
                    <w:p w14:paraId="142FB9DD" w14:textId="77777777" w:rsidR="001C2287" w:rsidRDefault="00000000">
                      <w:pPr>
                        <w:spacing w:after="0" w:line="240" w:lineRule="exact"/>
                        <w:jc w:val="center"/>
                        <w:rPr>
                          <w:rFonts w:ascii="Times New Roman" w:eastAsia="黑体" w:hAnsi="Times New Roman" w:cstheme="majorBidi"/>
                          <w:b/>
                          <w:bCs/>
                          <w:sz w:val="21"/>
                          <w:szCs w:val="21"/>
                          <w14:ligatures w14:val="none"/>
                        </w:rPr>
                      </w:pPr>
                      <w:r>
                        <w:rPr>
                          <w:rFonts w:ascii="Times New Roman" w:eastAsia="黑体" w:hAnsi="Times New Roman" w:cstheme="majorBidi" w:hint="eastAsia"/>
                          <w:b/>
                          <w:bCs/>
                          <w:sz w:val="21"/>
                          <w:szCs w:val="21"/>
                          <w14:ligatures w14:val="none"/>
                        </w:rPr>
                        <w:t>图</w:t>
                      </w:r>
                      <w:r>
                        <w:rPr>
                          <w:rFonts w:ascii="Times New Roman" w:eastAsia="黑体" w:hAnsi="Times New Roman" w:cstheme="majorBidi" w:hint="eastAsia"/>
                          <w:b/>
                          <w:bCs/>
                          <w:sz w:val="21"/>
                          <w:szCs w:val="21"/>
                          <w14:ligatures w14:val="none"/>
                        </w:rPr>
                        <w:t xml:space="preserve">A1 </w:t>
                      </w:r>
                      <w:bookmarkStart w:id="2" w:name="OLE_LINK4"/>
                      <w:r>
                        <w:rPr>
                          <w:rFonts w:ascii="Times New Roman" w:eastAsia="黑体" w:hAnsi="Times New Roman" w:cstheme="majorBidi" w:hint="eastAsia"/>
                          <w:b/>
                          <w:bCs/>
                          <w:sz w:val="21"/>
                          <w:szCs w:val="21"/>
                          <w14:ligatures w14:val="none"/>
                        </w:rPr>
                        <w:t>平行趋势敏感性检验</w:t>
                      </w:r>
                      <w:bookmarkEnd w:id="2"/>
                    </w:p>
                    <w:p w14:paraId="05FA1F31" w14:textId="77777777" w:rsidR="001C2287" w:rsidRDefault="001C2287">
                      <w:pPr>
                        <w:spacing w:after="0" w:line="240" w:lineRule="exact"/>
                        <w:jc w:val="center"/>
                        <w:rPr>
                          <w:rFonts w:ascii="宋体" w:eastAsia="宋体" w:hAnsi="宋体" w:hint="eastAsia"/>
                          <w:sz w:val="21"/>
                          <w:szCs w:val="21"/>
                        </w:rPr>
                      </w:pPr>
                    </w:p>
                  </w:txbxContent>
                </v:textbox>
              </v:shape>
            </w:pict>
          </mc:Fallback>
        </mc:AlternateContent>
      </w:r>
    </w:p>
    <w:p w14:paraId="0469F73B" w14:textId="77777777" w:rsidR="001C2287" w:rsidRDefault="00000000">
      <w:pPr>
        <w:spacing w:after="0" w:line="400" w:lineRule="exact"/>
        <w:ind w:firstLineChars="200" w:firstLine="422"/>
        <w:jc w:val="both"/>
        <w:rPr>
          <w:rFonts w:ascii="Times New Roman" w:eastAsia="黑体" w:hAnsi="Times New Roman" w:cs="Times New Roman"/>
          <w:b/>
          <w:bCs/>
          <w:sz w:val="21"/>
          <w:szCs w:val="22"/>
          <w14:ligatures w14:val="none"/>
        </w:rPr>
      </w:pPr>
      <w:r>
        <w:rPr>
          <w:rFonts w:ascii="Times New Roman" w:eastAsia="黑体" w:hAnsi="Times New Roman" w:cs="Times New Roman" w:hint="eastAsia"/>
          <w:b/>
          <w:bCs/>
          <w:sz w:val="21"/>
          <w:szCs w:val="22"/>
          <w14:ligatures w14:val="none"/>
        </w:rPr>
        <w:lastRenderedPageBreak/>
        <w:t>2.</w:t>
      </w:r>
      <w:bookmarkStart w:id="3" w:name="_Hlk215155144"/>
      <w:r>
        <w:rPr>
          <w:rFonts w:ascii="Times New Roman" w:eastAsia="黑体" w:hAnsi="Times New Roman" w:cs="Times New Roman" w:hint="eastAsia"/>
          <w:b/>
          <w:bCs/>
          <w:sz w:val="21"/>
          <w:szCs w:val="22"/>
          <w14:ligatures w14:val="none"/>
        </w:rPr>
        <w:t>安慰剂检验</w:t>
      </w:r>
      <w:bookmarkEnd w:id="3"/>
    </w:p>
    <w:p w14:paraId="703E3A85" w14:textId="77777777" w:rsidR="001C2287" w:rsidRDefault="00000000">
      <w:pPr>
        <w:spacing w:after="0" w:line="400" w:lineRule="exact"/>
        <w:ind w:firstLineChars="200" w:firstLine="420"/>
        <w:jc w:val="both"/>
        <w:rPr>
          <w:rFonts w:ascii="Times New Roman" w:eastAsia="宋体" w:hAnsi="Times New Roman" w:cs="Times New Roman"/>
          <w:sz w:val="21"/>
          <w:szCs w:val="21"/>
        </w:rPr>
      </w:pPr>
      <w:r>
        <w:rPr>
          <w:rFonts w:ascii="Times New Roman" w:eastAsia="宋体" w:hAnsi="Times New Roman" w:cs="Times New Roman"/>
          <w:sz w:val="21"/>
          <w:szCs w:val="21"/>
        </w:rPr>
        <w:t>由于回归模型天然存在的遗漏变量可能使得难以</w:t>
      </w:r>
      <w:r>
        <w:rPr>
          <w:rFonts w:ascii="Times New Roman" w:eastAsia="宋体" w:hAnsi="Times New Roman" w:cs="Times New Roman" w:hint="eastAsia"/>
          <w:sz w:val="21"/>
          <w:szCs w:val="21"/>
        </w:rPr>
        <w:t>识别</w:t>
      </w:r>
      <w:r>
        <w:rPr>
          <w:rFonts w:ascii="Times New Roman" w:eastAsia="宋体" w:hAnsi="Times New Roman" w:cs="Times New Roman"/>
          <w:sz w:val="21"/>
          <w:szCs w:val="21"/>
        </w:rPr>
        <w:t>影响</w:t>
      </w:r>
      <w:r>
        <w:rPr>
          <w:rFonts w:ascii="Times New Roman" w:eastAsia="宋体" w:hAnsi="Times New Roman" w:cs="Times New Roman" w:hint="eastAsia"/>
          <w:sz w:val="21"/>
          <w:szCs w:val="21"/>
        </w:rPr>
        <w:t>企业跨区域合作创新</w:t>
      </w:r>
      <w:r>
        <w:rPr>
          <w:rFonts w:ascii="Times New Roman" w:eastAsia="宋体" w:hAnsi="Times New Roman" w:cs="Times New Roman"/>
          <w:sz w:val="21"/>
          <w:szCs w:val="21"/>
        </w:rPr>
        <w:t>的所有潜在因素，</w:t>
      </w:r>
      <w:r>
        <w:rPr>
          <w:rFonts w:ascii="Times New Roman" w:eastAsia="宋体" w:hAnsi="Times New Roman" w:cs="Times New Roman" w:hint="eastAsia"/>
          <w:sz w:val="21"/>
          <w:szCs w:val="21"/>
        </w:rPr>
        <w:t>由此可以</w:t>
      </w:r>
      <w:r>
        <w:rPr>
          <w:rFonts w:ascii="Times New Roman" w:eastAsia="宋体" w:hAnsi="Times New Roman" w:cs="Times New Roman"/>
          <w:sz w:val="21"/>
          <w:szCs w:val="21"/>
        </w:rPr>
        <w:t>采用安慰剂检验缓解这一问题。具体而言，将</w:t>
      </w:r>
      <w:r>
        <w:rPr>
          <w:rFonts w:ascii="Times New Roman" w:eastAsia="宋体" w:hAnsi="Times New Roman" w:cs="Times New Roman" w:hint="eastAsia"/>
          <w:sz w:val="21"/>
          <w:szCs w:val="21"/>
        </w:rPr>
        <w:t>“繁简分流”改革代理</w:t>
      </w:r>
      <w:r>
        <w:rPr>
          <w:rFonts w:ascii="Times New Roman" w:eastAsia="宋体" w:hAnsi="Times New Roman" w:cs="Times New Roman"/>
          <w:sz w:val="21"/>
          <w:szCs w:val="21"/>
        </w:rPr>
        <w:t>指标与样本其他变量随机匹配后进行回归，并对这个随机</w:t>
      </w:r>
      <w:r>
        <w:rPr>
          <w:rFonts w:ascii="Times New Roman" w:eastAsia="宋体" w:hAnsi="Times New Roman" w:cs="Times New Roman" w:hint="eastAsia"/>
          <w:sz w:val="21"/>
          <w:szCs w:val="21"/>
        </w:rPr>
        <w:t>匹配</w:t>
      </w:r>
      <w:r>
        <w:rPr>
          <w:rFonts w:ascii="Times New Roman" w:eastAsia="宋体" w:hAnsi="Times New Roman" w:cs="Times New Roman"/>
          <w:sz w:val="21"/>
          <w:szCs w:val="21"/>
        </w:rPr>
        <w:t>后回归的过程重复</w:t>
      </w:r>
      <w:r>
        <w:rPr>
          <w:rFonts w:ascii="Times New Roman" w:eastAsia="宋体" w:hAnsi="Times New Roman" w:cs="Times New Roman"/>
          <w:sz w:val="21"/>
          <w:szCs w:val="21"/>
        </w:rPr>
        <w:t>500</w:t>
      </w:r>
      <w:r>
        <w:rPr>
          <w:rFonts w:ascii="Times New Roman" w:eastAsia="宋体" w:hAnsi="Times New Roman" w:cs="Times New Roman"/>
          <w:sz w:val="21"/>
          <w:szCs w:val="21"/>
        </w:rPr>
        <w:t>次，在此基础上计算虚拟解释变量</w:t>
      </w:r>
      <w:proofErr w:type="spellStart"/>
      <w:r>
        <w:rPr>
          <w:rFonts w:ascii="Times New Roman" w:eastAsia="宋体" w:hAnsi="Times New Roman" w:cs="Times New Roman"/>
          <w:i/>
          <w:iCs/>
          <w:sz w:val="21"/>
          <w:szCs w:val="21"/>
        </w:rPr>
        <w:t>DID_placebo</w:t>
      </w:r>
      <w:proofErr w:type="spellEnd"/>
      <w:r>
        <w:rPr>
          <w:rFonts w:ascii="Times New Roman" w:eastAsia="宋体" w:hAnsi="Times New Roman" w:cs="Times New Roman"/>
          <w:sz w:val="21"/>
          <w:szCs w:val="21"/>
        </w:rPr>
        <w:t>的回归系数均值及相应的</w:t>
      </w:r>
      <w:r>
        <w:rPr>
          <w:rFonts w:ascii="Times New Roman" w:eastAsia="宋体" w:hAnsi="Times New Roman" w:cs="Times New Roman"/>
          <w:sz w:val="21"/>
          <w:szCs w:val="21"/>
        </w:rPr>
        <w:t>t</w:t>
      </w:r>
      <w:r>
        <w:rPr>
          <w:rFonts w:ascii="Times New Roman" w:eastAsia="宋体" w:hAnsi="Times New Roman" w:cs="Times New Roman"/>
          <w:sz w:val="21"/>
          <w:szCs w:val="21"/>
        </w:rPr>
        <w:t>值均值。如果经过上述处理后的</w:t>
      </w:r>
      <w:proofErr w:type="spellStart"/>
      <w:r>
        <w:rPr>
          <w:rFonts w:ascii="Times New Roman" w:eastAsia="宋体" w:hAnsi="Times New Roman" w:cs="Times New Roman"/>
          <w:i/>
          <w:iCs/>
          <w:sz w:val="21"/>
          <w:szCs w:val="21"/>
        </w:rPr>
        <w:t>DID_placebo</w:t>
      </w:r>
      <w:proofErr w:type="spellEnd"/>
      <w:r>
        <w:rPr>
          <w:rFonts w:ascii="Times New Roman" w:eastAsia="宋体" w:hAnsi="Times New Roman" w:cs="Times New Roman"/>
          <w:sz w:val="21"/>
          <w:szCs w:val="21"/>
        </w:rPr>
        <w:t>回归系数均值与</w:t>
      </w:r>
      <w:r>
        <w:rPr>
          <w:rFonts w:ascii="Times New Roman" w:eastAsia="宋体" w:hAnsi="Times New Roman" w:cs="Times New Roman"/>
          <w:i/>
          <w:iCs/>
          <w:sz w:val="21"/>
          <w:szCs w:val="21"/>
        </w:rPr>
        <w:t>t</w:t>
      </w:r>
      <w:r>
        <w:rPr>
          <w:rFonts w:ascii="Times New Roman" w:eastAsia="宋体" w:hAnsi="Times New Roman" w:cs="Times New Roman"/>
          <w:sz w:val="21"/>
          <w:szCs w:val="21"/>
        </w:rPr>
        <w:t>值均值都非常接近</w:t>
      </w:r>
      <w:r>
        <w:rPr>
          <w:rFonts w:ascii="Times New Roman" w:eastAsia="宋体" w:hAnsi="Times New Roman" w:cs="Times New Roman"/>
          <w:sz w:val="21"/>
          <w:szCs w:val="21"/>
        </w:rPr>
        <w:t>0</w:t>
      </w:r>
      <w:r>
        <w:rPr>
          <w:rFonts w:ascii="Times New Roman" w:eastAsia="宋体" w:hAnsi="Times New Roman" w:cs="Times New Roman"/>
          <w:sz w:val="21"/>
          <w:szCs w:val="21"/>
        </w:rPr>
        <w:t>，则说明遗漏变量并不能对原有回归结果产生严重影响，基准回归结果是可靠的。根据</w:t>
      </w:r>
      <w:r>
        <w:rPr>
          <w:rFonts w:ascii="Times New Roman" w:eastAsia="宋体" w:hAnsi="Times New Roman" w:cs="Times New Roman" w:hint="eastAsia"/>
          <w:sz w:val="21"/>
          <w:szCs w:val="21"/>
        </w:rPr>
        <w:t>图</w:t>
      </w:r>
      <w:r>
        <w:rPr>
          <w:rFonts w:ascii="Times New Roman" w:eastAsia="宋体" w:hAnsi="Times New Roman" w:cs="Times New Roman" w:hint="eastAsia"/>
          <w:sz w:val="21"/>
          <w:szCs w:val="21"/>
        </w:rPr>
        <w:t>A2</w:t>
      </w:r>
      <w:r>
        <w:rPr>
          <w:rFonts w:ascii="Times New Roman" w:eastAsia="宋体" w:hAnsi="Times New Roman" w:cs="Times New Roman"/>
          <w:sz w:val="21"/>
          <w:szCs w:val="21"/>
        </w:rPr>
        <w:t>结果显示，</w:t>
      </w:r>
      <w:proofErr w:type="spellStart"/>
      <w:r>
        <w:rPr>
          <w:rFonts w:ascii="Times New Roman" w:eastAsia="宋体" w:hAnsi="Times New Roman" w:cs="Times New Roman"/>
          <w:i/>
          <w:iCs/>
          <w:sz w:val="21"/>
          <w:szCs w:val="21"/>
        </w:rPr>
        <w:t>DID_placebo</w:t>
      </w:r>
      <w:proofErr w:type="spellEnd"/>
      <w:r>
        <w:rPr>
          <w:rFonts w:ascii="Times New Roman" w:eastAsia="宋体" w:hAnsi="Times New Roman" w:cs="Times New Roman"/>
          <w:sz w:val="21"/>
          <w:szCs w:val="21"/>
        </w:rPr>
        <w:t>对</w:t>
      </w:r>
      <w:r>
        <w:rPr>
          <w:rFonts w:ascii="Times New Roman" w:eastAsia="宋体" w:hAnsi="Times New Roman" w:cs="Times New Roman" w:hint="eastAsia"/>
          <w:sz w:val="21"/>
          <w:szCs w:val="21"/>
        </w:rPr>
        <w:t>上市公司异地合作授权专利数量</w:t>
      </w:r>
      <w:r>
        <w:rPr>
          <w:rFonts w:ascii="Times New Roman" w:eastAsia="宋体" w:hAnsi="Times New Roman" w:cs="Times New Roman"/>
          <w:sz w:val="21"/>
          <w:szCs w:val="21"/>
        </w:rPr>
        <w:t>的回归系数均值</w:t>
      </w:r>
      <w:r>
        <w:rPr>
          <w:rFonts w:ascii="Times New Roman" w:eastAsia="宋体" w:hAnsi="Times New Roman" w:cs="Times New Roman" w:hint="eastAsia"/>
          <w:sz w:val="21"/>
          <w:szCs w:val="21"/>
        </w:rPr>
        <w:t>约为</w:t>
      </w:r>
      <w:r>
        <w:rPr>
          <w:rFonts w:ascii="Times New Roman" w:eastAsia="宋体" w:hAnsi="Times New Roman" w:cs="Times New Roman" w:hint="eastAsia"/>
          <w:sz w:val="21"/>
          <w:szCs w:val="21"/>
        </w:rPr>
        <w:t>-0.0136</w:t>
      </w:r>
      <w:r>
        <w:rPr>
          <w:rFonts w:ascii="Times New Roman" w:eastAsia="宋体" w:hAnsi="Times New Roman" w:cs="Times New Roman"/>
          <w:sz w:val="21"/>
          <w:szCs w:val="21"/>
        </w:rPr>
        <w:t>，</w:t>
      </w:r>
      <w:r>
        <w:rPr>
          <w:rFonts w:ascii="Times New Roman" w:eastAsia="宋体" w:hAnsi="Times New Roman" w:cs="Times New Roman"/>
          <w:sz w:val="21"/>
          <w:szCs w:val="21"/>
        </w:rPr>
        <w:t>t</w:t>
      </w:r>
      <w:r>
        <w:rPr>
          <w:rFonts w:ascii="Times New Roman" w:eastAsia="宋体" w:hAnsi="Times New Roman" w:cs="Times New Roman"/>
          <w:sz w:val="21"/>
          <w:szCs w:val="21"/>
        </w:rPr>
        <w:t>值均值</w:t>
      </w:r>
      <w:r>
        <w:rPr>
          <w:rFonts w:ascii="Times New Roman" w:eastAsia="宋体" w:hAnsi="Times New Roman" w:cs="Times New Roman" w:hint="eastAsia"/>
          <w:sz w:val="21"/>
          <w:szCs w:val="21"/>
        </w:rPr>
        <w:t>约为</w:t>
      </w:r>
      <w:r>
        <w:rPr>
          <w:rFonts w:ascii="Times New Roman" w:eastAsia="宋体" w:hAnsi="Times New Roman" w:cs="Times New Roman" w:hint="eastAsia"/>
          <w:sz w:val="21"/>
          <w:szCs w:val="21"/>
        </w:rPr>
        <w:t>-0.1388</w:t>
      </w:r>
      <w:r>
        <w:rPr>
          <w:rFonts w:ascii="Times New Roman" w:eastAsia="宋体" w:hAnsi="Times New Roman" w:cs="Times New Roman"/>
          <w:sz w:val="21"/>
          <w:szCs w:val="21"/>
        </w:rPr>
        <w:t>，并且</w:t>
      </w:r>
      <w:proofErr w:type="spellStart"/>
      <w:r>
        <w:rPr>
          <w:rFonts w:ascii="Times New Roman" w:eastAsia="宋体" w:hAnsi="Times New Roman" w:cs="Times New Roman"/>
          <w:i/>
          <w:iCs/>
          <w:sz w:val="21"/>
          <w:szCs w:val="21"/>
        </w:rPr>
        <w:t>DID_placebo</w:t>
      </w:r>
      <w:proofErr w:type="spellEnd"/>
      <w:r>
        <w:rPr>
          <w:rFonts w:ascii="Times New Roman" w:eastAsia="宋体" w:hAnsi="Times New Roman" w:cs="Times New Roman" w:hint="eastAsia"/>
          <w:sz w:val="21"/>
          <w:szCs w:val="21"/>
        </w:rPr>
        <w:t>大于基准回归系数</w:t>
      </w:r>
      <w:r>
        <w:rPr>
          <w:rFonts w:ascii="Times New Roman" w:eastAsia="宋体" w:hAnsi="Times New Roman" w:cs="Times New Roman" w:hint="eastAsia"/>
          <w:sz w:val="21"/>
          <w:szCs w:val="21"/>
        </w:rPr>
        <w:t>4.8479</w:t>
      </w:r>
      <w:r>
        <w:rPr>
          <w:rFonts w:ascii="Times New Roman" w:eastAsia="宋体" w:hAnsi="Times New Roman" w:cs="Times New Roman" w:hint="eastAsia"/>
          <w:sz w:val="21"/>
          <w:szCs w:val="21"/>
        </w:rPr>
        <w:t>的样本数量为</w:t>
      </w:r>
      <w:r>
        <w:rPr>
          <w:rFonts w:ascii="Times New Roman" w:eastAsia="宋体" w:hAnsi="Times New Roman" w:cs="Times New Roman" w:hint="eastAsia"/>
          <w:sz w:val="21"/>
          <w:szCs w:val="21"/>
        </w:rPr>
        <w:t>0</w:t>
      </w:r>
      <w:r>
        <w:rPr>
          <w:rFonts w:ascii="Times New Roman" w:eastAsia="宋体" w:hAnsi="Times New Roman" w:cs="Times New Roman" w:hint="eastAsia"/>
          <w:sz w:val="21"/>
          <w:szCs w:val="21"/>
        </w:rPr>
        <w:t>，</w:t>
      </w:r>
      <w:r>
        <w:rPr>
          <w:rFonts w:ascii="Times New Roman" w:eastAsia="宋体" w:hAnsi="Times New Roman" w:cs="Times New Roman"/>
          <w:i/>
          <w:iCs/>
          <w:sz w:val="21"/>
          <w:szCs w:val="21"/>
        </w:rPr>
        <w:t>t</w:t>
      </w:r>
      <w:r>
        <w:rPr>
          <w:rFonts w:ascii="Times New Roman" w:eastAsia="宋体" w:hAnsi="Times New Roman" w:cs="Times New Roman"/>
          <w:sz w:val="21"/>
          <w:szCs w:val="21"/>
        </w:rPr>
        <w:t>值</w:t>
      </w:r>
      <w:r>
        <w:rPr>
          <w:rFonts w:ascii="Times New Roman" w:eastAsia="宋体" w:hAnsi="Times New Roman" w:cs="Times New Roman" w:hint="eastAsia"/>
          <w:sz w:val="21"/>
          <w:szCs w:val="21"/>
        </w:rPr>
        <w:t>大于</w:t>
      </w:r>
      <w:r>
        <w:rPr>
          <w:rFonts w:ascii="Times New Roman" w:eastAsia="宋体" w:hAnsi="Times New Roman" w:cs="Times New Roman" w:hint="eastAsia"/>
          <w:sz w:val="21"/>
          <w:szCs w:val="21"/>
        </w:rPr>
        <w:t>1.64</w:t>
      </w:r>
      <w:r>
        <w:rPr>
          <w:rFonts w:ascii="Times New Roman" w:eastAsia="宋体" w:hAnsi="Times New Roman" w:cs="Times New Roman" w:hint="eastAsia"/>
          <w:sz w:val="21"/>
          <w:szCs w:val="21"/>
        </w:rPr>
        <w:t>的样本数量为</w:t>
      </w:r>
      <w:r>
        <w:rPr>
          <w:rFonts w:ascii="Times New Roman" w:eastAsia="宋体" w:hAnsi="Times New Roman" w:cs="Times New Roman" w:hint="eastAsia"/>
          <w:sz w:val="21"/>
          <w:szCs w:val="21"/>
        </w:rPr>
        <w:t>18</w:t>
      </w:r>
      <w:r>
        <w:rPr>
          <w:rFonts w:ascii="Times New Roman" w:eastAsia="宋体" w:hAnsi="Times New Roman" w:cs="Times New Roman" w:hint="eastAsia"/>
          <w:sz w:val="21"/>
          <w:szCs w:val="21"/>
        </w:rPr>
        <w:t>，占比小于</w:t>
      </w:r>
      <w:r>
        <w:rPr>
          <w:rFonts w:ascii="Times New Roman" w:eastAsia="宋体" w:hAnsi="Times New Roman" w:cs="Times New Roman" w:hint="eastAsia"/>
          <w:sz w:val="21"/>
          <w:szCs w:val="21"/>
        </w:rPr>
        <w:t>5%</w:t>
      </w:r>
      <w:r>
        <w:rPr>
          <w:rFonts w:ascii="Times New Roman" w:eastAsia="宋体" w:hAnsi="Times New Roman" w:cs="Times New Roman" w:hint="eastAsia"/>
          <w:sz w:val="21"/>
          <w:szCs w:val="21"/>
        </w:rPr>
        <w:t>，这</w:t>
      </w:r>
      <w:r>
        <w:rPr>
          <w:rFonts w:ascii="Times New Roman" w:eastAsia="宋体" w:hAnsi="Times New Roman" w:cs="Times New Roman"/>
          <w:sz w:val="21"/>
          <w:szCs w:val="21"/>
        </w:rPr>
        <w:t>表明遗漏变量问题并不能对本文实证结果产生挑战。</w:t>
      </w:r>
    </w:p>
    <w:p w14:paraId="1E57E0FA" w14:textId="77777777" w:rsidR="001C2287" w:rsidRDefault="00000000">
      <w:pPr>
        <w:spacing w:after="0" w:line="400" w:lineRule="exact"/>
        <w:jc w:val="both"/>
        <w:rPr>
          <w:rFonts w:ascii="Times New Roman" w:eastAsia="宋体" w:hAnsi="Times New Roman" w:cs="Times New Roman"/>
          <w:sz w:val="21"/>
          <w:szCs w:val="21"/>
        </w:rPr>
      </w:pPr>
      <w:r>
        <w:rPr>
          <w:rFonts w:ascii="宋体" w:eastAsia="宋体" w:hAnsi="宋体"/>
          <w:noProof/>
          <w:sz w:val="21"/>
          <w:szCs w:val="21"/>
        </w:rPr>
        <w:drawing>
          <wp:anchor distT="0" distB="0" distL="114300" distR="114300" simplePos="0" relativeHeight="251659264" behindDoc="0" locked="0" layoutInCell="1" allowOverlap="1" wp14:anchorId="5737264E" wp14:editId="79C55D44">
            <wp:simplePos x="0" y="0"/>
            <wp:positionH relativeFrom="margin">
              <wp:align>right</wp:align>
            </wp:positionH>
            <wp:positionV relativeFrom="paragraph">
              <wp:posOffset>6350</wp:posOffset>
            </wp:positionV>
            <wp:extent cx="5274310" cy="3164840"/>
            <wp:effectExtent l="0" t="0" r="13970" b="5080"/>
            <wp:wrapNone/>
            <wp:docPr id="1334010555" name="图片 5"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010555" name="图片 5" descr="图表, 直方图&#10;&#10;AI 生成的内容可能不正确。"/>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274310" cy="3164840"/>
                    </a:xfrm>
                    <a:prstGeom prst="rect">
                      <a:avLst/>
                    </a:prstGeom>
                  </pic:spPr>
                </pic:pic>
              </a:graphicData>
            </a:graphic>
          </wp:anchor>
        </w:drawing>
      </w:r>
    </w:p>
    <w:p w14:paraId="2C5E9696" w14:textId="77777777" w:rsidR="001C2287" w:rsidRDefault="001C2287">
      <w:pPr>
        <w:spacing w:after="0" w:line="400" w:lineRule="exact"/>
        <w:jc w:val="both"/>
        <w:rPr>
          <w:rFonts w:ascii="Times New Roman" w:eastAsia="宋体" w:hAnsi="Times New Roman" w:cs="Times New Roman"/>
          <w:sz w:val="21"/>
          <w:szCs w:val="21"/>
        </w:rPr>
      </w:pPr>
    </w:p>
    <w:p w14:paraId="43C3C212" w14:textId="77777777" w:rsidR="001C2287" w:rsidRDefault="001C2287">
      <w:pPr>
        <w:spacing w:after="0" w:line="400" w:lineRule="exact"/>
        <w:jc w:val="both"/>
        <w:rPr>
          <w:rFonts w:ascii="Times New Roman" w:eastAsia="宋体" w:hAnsi="Times New Roman" w:cs="Times New Roman"/>
          <w:sz w:val="21"/>
          <w:szCs w:val="21"/>
        </w:rPr>
      </w:pPr>
    </w:p>
    <w:p w14:paraId="47F9149D" w14:textId="77777777" w:rsidR="001C2287" w:rsidRDefault="001C2287">
      <w:pPr>
        <w:spacing w:after="0" w:line="400" w:lineRule="exact"/>
        <w:jc w:val="both"/>
        <w:rPr>
          <w:rFonts w:ascii="Times New Roman" w:eastAsia="宋体" w:hAnsi="Times New Roman" w:cs="Times New Roman"/>
          <w:sz w:val="21"/>
          <w:szCs w:val="21"/>
        </w:rPr>
      </w:pPr>
    </w:p>
    <w:p w14:paraId="3998B057" w14:textId="77777777" w:rsidR="001C2287" w:rsidRDefault="001C2287">
      <w:pPr>
        <w:spacing w:after="0" w:line="400" w:lineRule="exact"/>
        <w:jc w:val="both"/>
        <w:rPr>
          <w:rFonts w:ascii="Times New Roman" w:eastAsia="宋体" w:hAnsi="Times New Roman" w:cs="Times New Roman"/>
          <w:sz w:val="21"/>
          <w:szCs w:val="21"/>
        </w:rPr>
      </w:pPr>
    </w:p>
    <w:p w14:paraId="31B1C343" w14:textId="77777777" w:rsidR="001C2287" w:rsidRDefault="001C2287">
      <w:pPr>
        <w:spacing w:after="0" w:line="400" w:lineRule="exact"/>
        <w:jc w:val="both"/>
        <w:rPr>
          <w:rFonts w:ascii="Times New Roman" w:eastAsia="宋体" w:hAnsi="Times New Roman" w:cs="Times New Roman"/>
          <w:sz w:val="21"/>
          <w:szCs w:val="21"/>
        </w:rPr>
      </w:pPr>
    </w:p>
    <w:p w14:paraId="0B9CAA06" w14:textId="77777777" w:rsidR="001C2287" w:rsidRDefault="001C2287">
      <w:pPr>
        <w:spacing w:after="0" w:line="400" w:lineRule="exact"/>
        <w:jc w:val="both"/>
        <w:rPr>
          <w:rFonts w:ascii="Times New Roman" w:eastAsia="宋体" w:hAnsi="Times New Roman" w:cs="Times New Roman"/>
          <w:sz w:val="21"/>
          <w:szCs w:val="21"/>
        </w:rPr>
      </w:pPr>
    </w:p>
    <w:p w14:paraId="14336300" w14:textId="77777777" w:rsidR="001C2287" w:rsidRDefault="001C2287">
      <w:pPr>
        <w:spacing w:after="0" w:line="400" w:lineRule="exact"/>
        <w:jc w:val="both"/>
        <w:rPr>
          <w:rFonts w:ascii="Times New Roman" w:eastAsia="宋体" w:hAnsi="Times New Roman" w:cs="Times New Roman"/>
          <w:sz w:val="21"/>
          <w:szCs w:val="21"/>
        </w:rPr>
      </w:pPr>
    </w:p>
    <w:p w14:paraId="1269C108" w14:textId="77777777" w:rsidR="001C2287" w:rsidRDefault="001C2287">
      <w:pPr>
        <w:spacing w:after="0" w:line="400" w:lineRule="exact"/>
        <w:jc w:val="both"/>
        <w:rPr>
          <w:rFonts w:ascii="Times New Roman" w:eastAsia="宋体" w:hAnsi="Times New Roman" w:cs="Times New Roman"/>
          <w:sz w:val="21"/>
          <w:szCs w:val="21"/>
        </w:rPr>
      </w:pPr>
    </w:p>
    <w:p w14:paraId="7E1F1510" w14:textId="77777777" w:rsidR="001C2287" w:rsidRDefault="001C2287">
      <w:pPr>
        <w:spacing w:after="0" w:line="400" w:lineRule="exact"/>
        <w:jc w:val="both"/>
        <w:rPr>
          <w:rFonts w:ascii="Times New Roman" w:eastAsia="宋体" w:hAnsi="Times New Roman" w:cs="Times New Roman"/>
          <w:sz w:val="21"/>
          <w:szCs w:val="21"/>
        </w:rPr>
      </w:pPr>
    </w:p>
    <w:p w14:paraId="0977F9C2" w14:textId="77777777" w:rsidR="001C2287" w:rsidRDefault="001C2287">
      <w:pPr>
        <w:spacing w:after="0" w:line="400" w:lineRule="exact"/>
        <w:jc w:val="both"/>
        <w:rPr>
          <w:rFonts w:ascii="Times New Roman" w:eastAsia="宋体" w:hAnsi="Times New Roman" w:cs="Times New Roman"/>
          <w:sz w:val="21"/>
          <w:szCs w:val="21"/>
        </w:rPr>
      </w:pPr>
    </w:p>
    <w:p w14:paraId="5AB52D2A" w14:textId="77777777" w:rsidR="001C2287" w:rsidRDefault="001C2287">
      <w:pPr>
        <w:spacing w:after="0" w:line="400" w:lineRule="exact"/>
        <w:jc w:val="both"/>
        <w:rPr>
          <w:rFonts w:ascii="Times New Roman" w:eastAsia="宋体" w:hAnsi="Times New Roman" w:cs="Times New Roman"/>
          <w:sz w:val="21"/>
          <w:szCs w:val="21"/>
        </w:rPr>
      </w:pPr>
    </w:p>
    <w:p w14:paraId="73928C1B" w14:textId="77777777" w:rsidR="001C2287" w:rsidRDefault="00000000">
      <w:pPr>
        <w:spacing w:after="0" w:line="400" w:lineRule="exact"/>
        <w:jc w:val="both"/>
        <w:rPr>
          <w:rFonts w:ascii="Times New Roman" w:eastAsia="宋体" w:hAnsi="Times New Roman" w:cs="Times New Roman"/>
          <w:sz w:val="21"/>
          <w:szCs w:val="21"/>
        </w:rPr>
      </w:pPr>
      <w:r>
        <w:rPr>
          <w:rFonts w:ascii="宋体" w:eastAsia="宋体" w:hAnsi="宋体" w:cs="宋体"/>
          <w:b/>
          <w:bCs/>
          <w:noProof/>
          <w:kern w:val="0"/>
          <w:sz w:val="21"/>
          <w:szCs w:val="21"/>
          <w14:ligatures w14:val="none"/>
        </w:rPr>
        <mc:AlternateContent>
          <mc:Choice Requires="wps">
            <w:drawing>
              <wp:anchor distT="0" distB="0" distL="114300" distR="114300" simplePos="0" relativeHeight="251663360" behindDoc="0" locked="0" layoutInCell="1" allowOverlap="1" wp14:anchorId="2397FF3A" wp14:editId="192721EC">
                <wp:simplePos x="0" y="0"/>
                <wp:positionH relativeFrom="margin">
                  <wp:posOffset>114300</wp:posOffset>
                </wp:positionH>
                <wp:positionV relativeFrom="paragraph">
                  <wp:posOffset>38100</wp:posOffset>
                </wp:positionV>
                <wp:extent cx="4718050" cy="241300"/>
                <wp:effectExtent l="0" t="0" r="6350" b="2540"/>
                <wp:wrapNone/>
                <wp:docPr id="2006245358" name="文本框 3"/>
                <wp:cNvGraphicFramePr/>
                <a:graphic xmlns:a="http://schemas.openxmlformats.org/drawingml/2006/main">
                  <a:graphicData uri="http://schemas.microsoft.com/office/word/2010/wordprocessingShape">
                    <wps:wsp>
                      <wps:cNvSpPr txBox="1"/>
                      <wps:spPr>
                        <a:xfrm>
                          <a:off x="0" y="0"/>
                          <a:ext cx="4718050" cy="241300"/>
                        </a:xfrm>
                        <a:prstGeom prst="rect">
                          <a:avLst/>
                        </a:prstGeom>
                        <a:solidFill>
                          <a:schemeClr val="lt1"/>
                        </a:solidFill>
                        <a:ln w="6350">
                          <a:noFill/>
                        </a:ln>
                      </wps:spPr>
                      <wps:txbx>
                        <w:txbxContent>
                          <w:p w14:paraId="6649AB55" w14:textId="77777777" w:rsidR="001C2287" w:rsidRDefault="00000000">
                            <w:pPr>
                              <w:spacing w:after="0" w:line="240" w:lineRule="exact"/>
                              <w:jc w:val="center"/>
                              <w:rPr>
                                <w:rFonts w:ascii="Times New Roman" w:eastAsia="黑体" w:hAnsi="Times New Roman" w:cstheme="majorBidi"/>
                                <w:b/>
                                <w:bCs/>
                                <w:sz w:val="21"/>
                                <w:szCs w:val="21"/>
                                <w14:ligatures w14:val="none"/>
                              </w:rPr>
                            </w:pPr>
                            <w:r>
                              <w:rPr>
                                <w:rFonts w:ascii="Times New Roman" w:eastAsia="黑体" w:hAnsi="Times New Roman" w:cstheme="majorBidi" w:hint="eastAsia"/>
                                <w:b/>
                                <w:bCs/>
                                <w:sz w:val="21"/>
                                <w:szCs w:val="21"/>
                                <w14:ligatures w14:val="none"/>
                              </w:rPr>
                              <w:t>图</w:t>
                            </w:r>
                            <w:r>
                              <w:rPr>
                                <w:rFonts w:ascii="Times New Roman" w:eastAsia="黑体" w:hAnsi="Times New Roman" w:cstheme="majorBidi" w:hint="eastAsia"/>
                                <w:b/>
                                <w:bCs/>
                                <w:sz w:val="21"/>
                                <w:szCs w:val="21"/>
                                <w14:ligatures w14:val="none"/>
                              </w:rPr>
                              <w:t xml:space="preserve">A2 </w:t>
                            </w:r>
                            <w:r>
                              <w:rPr>
                                <w:rFonts w:ascii="Times New Roman" w:eastAsia="黑体" w:hAnsi="Times New Roman" w:cstheme="majorBidi" w:hint="eastAsia"/>
                                <w:b/>
                                <w:bCs/>
                                <w:sz w:val="21"/>
                                <w:szCs w:val="21"/>
                                <w14:ligatures w14:val="none"/>
                              </w:rPr>
                              <w:t>安慰剂检验的伪回归系数分布图</w:t>
                            </w:r>
                          </w:p>
                          <w:p w14:paraId="333ED783" w14:textId="77777777" w:rsidR="001C2287" w:rsidRDefault="001C2287">
                            <w:pPr>
                              <w:spacing w:after="0" w:line="240" w:lineRule="exact"/>
                              <w:jc w:val="center"/>
                              <w:rPr>
                                <w:rFonts w:ascii="宋体" w:eastAsia="宋体" w:hAnsi="宋体" w:hint="eastAsia"/>
                                <w:sz w:val="21"/>
                                <w:szCs w:val="21"/>
                              </w:rPr>
                            </w:pPr>
                          </w:p>
                        </w:txbxContent>
                      </wps:txbx>
                      <wps:bodyPr rot="0" spcFirstLastPara="0" vertOverflow="clip" horzOverflow="clip" vert="horz" wrap="square" lIns="91440" tIns="45720" rIns="91440" bIns="45720" numCol="1" spcCol="0" rtlCol="0" fromWordArt="0" anchor="t" anchorCtr="0" forceAA="0" compatLnSpc="1">
                        <a:noAutofit/>
                      </wps:bodyPr>
                    </wps:wsp>
                  </a:graphicData>
                </a:graphic>
              </wp:anchor>
            </w:drawing>
          </mc:Choice>
          <mc:Fallback>
            <w:pict>
              <v:shape w14:anchorId="2397FF3A" id="_x0000_s1027" type="#_x0000_t202" style="position:absolute;left:0;text-align:left;margin-left:9pt;margin-top:3pt;width:371.5pt;height:19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" fillcolor="white [3201]" stroked="f" strokeweight=".5pt">
                <v:textbox>
                  <w:txbxContent>
                    <w:p w14:paraId="6649AB55" w14:textId="77777777" w:rsidR="001C2287" w:rsidRDefault="00000000">
                      <w:pPr>
                        <w:spacing w:after="0" w:line="240" w:lineRule="exact"/>
                        <w:jc w:val="center"/>
                        <w:rPr>
                          <w:rFonts w:ascii="Times New Roman" w:eastAsia="黑体" w:hAnsi="Times New Roman" w:cstheme="majorBidi"/>
                          <w:b/>
                          <w:bCs/>
                          <w:sz w:val="21"/>
                          <w:szCs w:val="21"/>
                          <w14:ligatures w14:val="none"/>
                        </w:rPr>
                      </w:pPr>
                      <w:r>
                        <w:rPr>
                          <w:rFonts w:ascii="Times New Roman" w:eastAsia="黑体" w:hAnsi="Times New Roman" w:cstheme="majorBidi" w:hint="eastAsia"/>
                          <w:b/>
                          <w:bCs/>
                          <w:sz w:val="21"/>
                          <w:szCs w:val="21"/>
                          <w14:ligatures w14:val="none"/>
                        </w:rPr>
                        <w:t>图</w:t>
                      </w:r>
                      <w:r>
                        <w:rPr>
                          <w:rFonts w:ascii="Times New Roman" w:eastAsia="黑体" w:hAnsi="Times New Roman" w:cstheme="majorBidi" w:hint="eastAsia"/>
                          <w:b/>
                          <w:bCs/>
                          <w:sz w:val="21"/>
                          <w:szCs w:val="21"/>
                          <w14:ligatures w14:val="none"/>
                        </w:rPr>
                        <w:t xml:space="preserve">A2 </w:t>
                      </w:r>
                      <w:r>
                        <w:rPr>
                          <w:rFonts w:ascii="Times New Roman" w:eastAsia="黑体" w:hAnsi="Times New Roman" w:cstheme="majorBidi" w:hint="eastAsia"/>
                          <w:b/>
                          <w:bCs/>
                          <w:sz w:val="21"/>
                          <w:szCs w:val="21"/>
                          <w14:ligatures w14:val="none"/>
                        </w:rPr>
                        <w:t>安慰剂检验的伪回归系数分布图</w:t>
                      </w:r>
                    </w:p>
                    <w:p w14:paraId="333ED783" w14:textId="77777777" w:rsidR="001C2287" w:rsidRDefault="001C2287">
                      <w:pPr>
                        <w:spacing w:after="0" w:line="240" w:lineRule="exact"/>
                        <w:jc w:val="center"/>
                        <w:rPr>
                          <w:rFonts w:ascii="宋体" w:eastAsia="宋体" w:hAnsi="宋体" w:hint="eastAsia"/>
                          <w:sz w:val="21"/>
                          <w:szCs w:val="21"/>
                        </w:rPr>
                      </w:pPr>
                    </w:p>
                  </w:txbxContent>
                </v:textbox>
                <w10:wrap anchorx="margin"/>
              </v:shape>
            </w:pict>
          </mc:Fallback>
        </mc:AlternateContent>
      </w:r>
    </w:p>
    <w:p w14:paraId="5815DE92" w14:textId="77777777" w:rsidR="001C2287" w:rsidRDefault="00000000">
      <w:pPr>
        <w:spacing w:after="0" w:line="400" w:lineRule="exact"/>
        <w:ind w:firstLineChars="200" w:firstLine="422"/>
        <w:jc w:val="both"/>
        <w:rPr>
          <w:rFonts w:ascii="Times New Roman" w:eastAsia="黑体" w:hAnsi="Times New Roman" w:cs="Times New Roman"/>
          <w:b/>
          <w:bCs/>
          <w:sz w:val="21"/>
          <w:szCs w:val="22"/>
          <w14:ligatures w14:val="none"/>
        </w:rPr>
      </w:pPr>
      <w:r>
        <w:rPr>
          <w:rFonts w:ascii="Times New Roman" w:eastAsia="黑体" w:hAnsi="Times New Roman" w:cs="Times New Roman" w:hint="eastAsia"/>
          <w:b/>
          <w:bCs/>
          <w:sz w:val="21"/>
          <w:szCs w:val="22"/>
          <w14:ligatures w14:val="none"/>
        </w:rPr>
        <w:t>3</w:t>
      </w:r>
      <w:bookmarkStart w:id="4" w:name="_Hlk215155151"/>
      <w:r>
        <w:rPr>
          <w:rFonts w:ascii="Times New Roman" w:eastAsia="黑体" w:hAnsi="Times New Roman" w:cs="Times New Roman" w:hint="eastAsia"/>
          <w:b/>
          <w:bCs/>
          <w:sz w:val="21"/>
          <w:szCs w:val="22"/>
          <w14:ligatures w14:val="none"/>
        </w:rPr>
        <w:t>.PSM+DID</w:t>
      </w:r>
      <w:bookmarkEnd w:id="4"/>
    </w:p>
    <w:p w14:paraId="5A085D21" w14:textId="77777777" w:rsidR="001C2287" w:rsidRDefault="00000000">
      <w:pPr>
        <w:spacing w:after="0" w:line="400" w:lineRule="exact"/>
        <w:ind w:firstLineChars="200" w:firstLine="420"/>
        <w:jc w:val="both"/>
        <w:rPr>
          <w:rFonts w:ascii="Times New Roman" w:eastAsia="宋体" w:hAnsi="Times New Roman" w:cs="Times New Roman"/>
          <w:sz w:val="21"/>
          <w:szCs w:val="21"/>
        </w:rPr>
      </w:pPr>
      <w:r>
        <w:rPr>
          <w:rFonts w:ascii="Times New Roman" w:eastAsia="宋体" w:hAnsi="Times New Roman" w:cs="Times New Roman"/>
          <w:sz w:val="21"/>
          <w:szCs w:val="21"/>
        </w:rPr>
        <w:t>为了排除样本</w:t>
      </w:r>
      <w:proofErr w:type="gramStart"/>
      <w:r>
        <w:rPr>
          <w:rFonts w:ascii="Times New Roman" w:eastAsia="宋体" w:hAnsi="Times New Roman" w:cs="Times New Roman"/>
          <w:sz w:val="21"/>
          <w:szCs w:val="21"/>
        </w:rPr>
        <w:t>自选择</w:t>
      </w:r>
      <w:proofErr w:type="gramEnd"/>
      <w:r>
        <w:rPr>
          <w:rFonts w:ascii="Times New Roman" w:eastAsia="宋体" w:hAnsi="Times New Roman" w:cs="Times New Roman"/>
          <w:sz w:val="21"/>
          <w:szCs w:val="21"/>
        </w:rPr>
        <w:t>问题，使用倾向得分匹配方法消除实验组和对照组的先天差异，即以本文基准回归模型中使用的控制变量作为协变量计算每个样本的</w:t>
      </w:r>
      <w:r>
        <w:rPr>
          <w:rFonts w:ascii="Times New Roman" w:eastAsia="宋体" w:hAnsi="Times New Roman" w:cs="Times New Roman"/>
          <w:i/>
          <w:sz w:val="21"/>
          <w:szCs w:val="21"/>
        </w:rPr>
        <w:t>propensity score</w:t>
      </w:r>
      <w:r>
        <w:rPr>
          <w:rFonts w:ascii="Times New Roman" w:eastAsia="宋体" w:hAnsi="Times New Roman" w:cs="Times New Roman"/>
          <w:sz w:val="21"/>
          <w:szCs w:val="21"/>
        </w:rPr>
        <w:t>，然后在满足共同支撑假设的基础上采用逐年</w:t>
      </w:r>
      <w:r>
        <w:rPr>
          <w:rFonts w:ascii="Times New Roman" w:eastAsia="宋体" w:hAnsi="Times New Roman" w:cs="Times New Roman"/>
          <w:sz w:val="21"/>
          <w:szCs w:val="21"/>
        </w:rPr>
        <w:t>1</w:t>
      </w:r>
      <w:r>
        <w:rPr>
          <w:rFonts w:ascii="Times New Roman" w:eastAsia="宋体" w:hAnsi="Times New Roman" w:cs="Times New Roman" w:hint="eastAsia"/>
          <w:sz w:val="21"/>
          <w:szCs w:val="21"/>
        </w:rPr>
        <w:t>:</w:t>
      </w:r>
      <w:r>
        <w:rPr>
          <w:rFonts w:ascii="Times New Roman" w:eastAsia="宋体" w:hAnsi="Times New Roman" w:cs="Times New Roman"/>
          <w:sz w:val="21"/>
          <w:szCs w:val="21"/>
        </w:rPr>
        <w:t>1</w:t>
      </w:r>
      <w:r>
        <w:rPr>
          <w:rFonts w:ascii="Times New Roman" w:eastAsia="宋体" w:hAnsi="Times New Roman" w:cs="Times New Roman"/>
          <w:sz w:val="21"/>
          <w:szCs w:val="21"/>
        </w:rPr>
        <w:t>最近邻匹配筛选出与实验组样本</w:t>
      </w:r>
      <w:r>
        <w:rPr>
          <w:rFonts w:ascii="Times New Roman" w:eastAsia="宋体" w:hAnsi="Times New Roman" w:cs="Times New Roman"/>
          <w:i/>
          <w:sz w:val="21"/>
          <w:szCs w:val="21"/>
        </w:rPr>
        <w:t>propensity score</w:t>
      </w:r>
      <w:r>
        <w:rPr>
          <w:rFonts w:ascii="Times New Roman" w:eastAsia="宋体" w:hAnsi="Times New Roman" w:cs="Times New Roman"/>
          <w:iCs/>
          <w:sz w:val="21"/>
          <w:szCs w:val="21"/>
        </w:rPr>
        <w:t>最为接近</w:t>
      </w:r>
      <w:r>
        <w:rPr>
          <w:rFonts w:ascii="Times New Roman" w:eastAsia="宋体" w:hAnsi="Times New Roman" w:cs="Times New Roman"/>
          <w:sz w:val="21"/>
          <w:szCs w:val="21"/>
        </w:rPr>
        <w:t>的对照组样本。鉴于对匹配后样本在控制城市层面固定效应进行回归时会造成核心解释变量系数缺失，因此我们仅控制个体效应和年度效应后重新使用匹配后的样本对模型（</w:t>
      </w:r>
      <w:r>
        <w:rPr>
          <w:rFonts w:ascii="Times New Roman" w:eastAsia="宋体" w:hAnsi="Times New Roman" w:cs="Times New Roman"/>
          <w:sz w:val="21"/>
          <w:szCs w:val="21"/>
        </w:rPr>
        <w:t>1</w:t>
      </w:r>
      <w:r>
        <w:rPr>
          <w:rFonts w:ascii="Times New Roman" w:eastAsia="宋体" w:hAnsi="Times New Roman" w:cs="Times New Roman"/>
          <w:sz w:val="21"/>
          <w:szCs w:val="21"/>
        </w:rPr>
        <w:t>）进行回归，结果见表</w:t>
      </w:r>
      <w:r>
        <w:rPr>
          <w:rFonts w:ascii="Times New Roman" w:eastAsia="宋体" w:hAnsi="Times New Roman" w:cs="Times New Roman" w:hint="eastAsia"/>
          <w:sz w:val="21"/>
          <w:szCs w:val="21"/>
        </w:rPr>
        <w:t>A2</w:t>
      </w:r>
      <w:r>
        <w:rPr>
          <w:rFonts w:ascii="Times New Roman" w:eastAsia="宋体" w:hAnsi="Times New Roman" w:cs="Times New Roman"/>
          <w:i/>
          <w:iCs/>
          <w:sz w:val="21"/>
          <w:szCs w:val="21"/>
        </w:rPr>
        <w:t>PanelA</w:t>
      </w:r>
      <w:r>
        <w:rPr>
          <w:rFonts w:ascii="Times New Roman" w:eastAsia="宋体" w:hAnsi="Times New Roman" w:cs="Times New Roman"/>
          <w:sz w:val="21"/>
          <w:szCs w:val="21"/>
        </w:rPr>
        <w:t>列（</w:t>
      </w:r>
      <w:r>
        <w:rPr>
          <w:rFonts w:ascii="Times New Roman" w:eastAsia="宋体" w:hAnsi="Times New Roman" w:cs="Times New Roman"/>
          <w:sz w:val="21"/>
          <w:szCs w:val="21"/>
        </w:rPr>
        <w:t>1</w:t>
      </w:r>
      <w:r>
        <w:rPr>
          <w:rFonts w:ascii="Times New Roman" w:eastAsia="宋体" w:hAnsi="Times New Roman" w:cs="Times New Roman"/>
          <w:sz w:val="21"/>
          <w:szCs w:val="21"/>
        </w:rPr>
        <w:t>）。可以看到，在</w:t>
      </w:r>
      <w:r>
        <w:rPr>
          <w:rFonts w:ascii="Times New Roman" w:eastAsia="宋体" w:hAnsi="Times New Roman" w:cs="Times New Roman" w:hint="eastAsia"/>
          <w:sz w:val="21"/>
          <w:szCs w:val="21"/>
        </w:rPr>
        <w:t>进行</w:t>
      </w:r>
      <w:r>
        <w:rPr>
          <w:rFonts w:ascii="Times New Roman" w:eastAsia="宋体" w:hAnsi="Times New Roman" w:cs="Times New Roman"/>
          <w:sz w:val="21"/>
          <w:szCs w:val="21"/>
        </w:rPr>
        <w:t>逐年</w:t>
      </w:r>
      <w:r>
        <w:rPr>
          <w:rFonts w:ascii="Times New Roman" w:eastAsia="宋体" w:hAnsi="Times New Roman" w:cs="Times New Roman"/>
          <w:sz w:val="21"/>
          <w:szCs w:val="21"/>
        </w:rPr>
        <w:t>PSM</w:t>
      </w:r>
      <w:r>
        <w:rPr>
          <w:rFonts w:ascii="Times New Roman" w:eastAsia="宋体" w:hAnsi="Times New Roman" w:cs="Times New Roman"/>
          <w:sz w:val="21"/>
          <w:szCs w:val="21"/>
        </w:rPr>
        <w:t>后，核心解释变量的回归系数依旧在</w:t>
      </w:r>
      <w:r>
        <w:rPr>
          <w:rFonts w:ascii="Times New Roman" w:eastAsia="宋体" w:hAnsi="Times New Roman" w:cs="Times New Roman"/>
          <w:sz w:val="21"/>
          <w:szCs w:val="21"/>
        </w:rPr>
        <w:t>1%</w:t>
      </w:r>
      <w:r>
        <w:rPr>
          <w:rFonts w:ascii="Times New Roman" w:eastAsia="宋体" w:hAnsi="Times New Roman" w:cs="Times New Roman"/>
          <w:sz w:val="21"/>
          <w:szCs w:val="21"/>
        </w:rPr>
        <w:t>水平上显著为正，表明</w:t>
      </w:r>
      <w:r>
        <w:rPr>
          <w:rFonts w:ascii="Times New Roman" w:eastAsia="宋体" w:hAnsi="Times New Roman" w:cs="Times New Roman" w:hint="eastAsia"/>
          <w:sz w:val="21"/>
          <w:szCs w:val="21"/>
        </w:rPr>
        <w:t>“</w:t>
      </w:r>
      <w:r>
        <w:rPr>
          <w:rFonts w:ascii="Times New Roman" w:eastAsia="宋体" w:hAnsi="Times New Roman" w:cs="Times New Roman"/>
          <w:sz w:val="21"/>
          <w:szCs w:val="21"/>
        </w:rPr>
        <w:t>繁简分流</w:t>
      </w:r>
      <w:r>
        <w:rPr>
          <w:rFonts w:ascii="Times New Roman" w:eastAsia="宋体" w:hAnsi="Times New Roman" w:cs="Times New Roman" w:hint="eastAsia"/>
          <w:sz w:val="21"/>
          <w:szCs w:val="21"/>
        </w:rPr>
        <w:t>”</w:t>
      </w:r>
      <w:r>
        <w:rPr>
          <w:rFonts w:ascii="Times New Roman" w:eastAsia="宋体" w:hAnsi="Times New Roman" w:cs="Times New Roman"/>
          <w:sz w:val="21"/>
          <w:szCs w:val="21"/>
        </w:rPr>
        <w:t>改革对企业跨区域合作创新具有推动作用。</w:t>
      </w:r>
    </w:p>
    <w:p w14:paraId="0DE9AFE1" w14:textId="77777777" w:rsidR="001C2287" w:rsidRDefault="00000000">
      <w:pPr>
        <w:spacing w:after="0" w:line="400" w:lineRule="exact"/>
        <w:ind w:firstLineChars="200" w:firstLine="422"/>
        <w:jc w:val="both"/>
        <w:rPr>
          <w:rFonts w:ascii="Times New Roman" w:eastAsia="黑体" w:hAnsi="Times New Roman" w:cs="Times New Roman"/>
          <w:b/>
          <w:bCs/>
          <w:sz w:val="21"/>
          <w:szCs w:val="22"/>
          <w14:ligatures w14:val="none"/>
        </w:rPr>
      </w:pPr>
      <w:r>
        <w:rPr>
          <w:rFonts w:ascii="Times New Roman" w:eastAsia="黑体" w:hAnsi="Times New Roman" w:cs="Times New Roman" w:hint="eastAsia"/>
          <w:b/>
          <w:bCs/>
          <w:sz w:val="21"/>
          <w:szCs w:val="22"/>
          <w14:ligatures w14:val="none"/>
        </w:rPr>
        <w:t>4.</w:t>
      </w:r>
      <w:bookmarkStart w:id="5" w:name="_Hlk215155162"/>
      <w:r>
        <w:rPr>
          <w:rFonts w:ascii="Times New Roman" w:eastAsia="黑体" w:hAnsi="Times New Roman" w:cs="Times New Roman" w:hint="eastAsia"/>
          <w:b/>
          <w:bCs/>
          <w:sz w:val="21"/>
          <w:szCs w:val="22"/>
          <w14:ligatures w14:val="none"/>
        </w:rPr>
        <w:t>控制预期效应</w:t>
      </w:r>
      <w:bookmarkEnd w:id="5"/>
    </w:p>
    <w:p w14:paraId="590D0C00" w14:textId="77777777" w:rsidR="001C2287" w:rsidRDefault="00000000">
      <w:pPr>
        <w:spacing w:after="0" w:line="400" w:lineRule="exact"/>
        <w:ind w:firstLineChars="200" w:firstLine="420"/>
        <w:jc w:val="both"/>
        <w:rPr>
          <w:rFonts w:ascii="宋体" w:eastAsia="宋体" w:hAnsi="宋体" w:hint="eastAsia"/>
          <w:sz w:val="21"/>
          <w:szCs w:val="21"/>
        </w:rPr>
      </w:pPr>
      <w:r>
        <w:rPr>
          <w:rFonts w:ascii="宋体" w:eastAsia="宋体" w:hAnsi="宋体" w:hint="eastAsia"/>
          <w:sz w:val="21"/>
          <w:szCs w:val="21"/>
        </w:rPr>
        <w:t>为了确保</w:t>
      </w:r>
      <w:r>
        <w:rPr>
          <w:rFonts w:ascii="Times New Roman" w:eastAsia="宋体" w:hAnsi="Times New Roman" w:cs="Times New Roman" w:hint="eastAsia"/>
          <w:sz w:val="21"/>
          <w:szCs w:val="21"/>
        </w:rPr>
        <w:t>“繁简分流”改革实施之前上市公司没有加大与实验地城市所属企业的合作创</w:t>
      </w:r>
      <w:r>
        <w:rPr>
          <w:rFonts w:ascii="Times New Roman" w:eastAsia="宋体" w:hAnsi="Times New Roman" w:cs="Times New Roman" w:hint="eastAsia"/>
          <w:sz w:val="21"/>
          <w:szCs w:val="21"/>
        </w:rPr>
        <w:lastRenderedPageBreak/>
        <w:t>新力度，借鉴蒋灵多（</w:t>
      </w:r>
      <w:r>
        <w:rPr>
          <w:rFonts w:ascii="Times New Roman" w:eastAsia="宋体" w:hAnsi="Times New Roman" w:cs="Times New Roman" w:hint="eastAsia"/>
          <w:sz w:val="21"/>
          <w:szCs w:val="21"/>
        </w:rPr>
        <w:t>2021</w:t>
      </w:r>
      <w:r>
        <w:rPr>
          <w:rFonts w:ascii="Times New Roman" w:eastAsia="宋体" w:hAnsi="Times New Roman" w:cs="Times New Roman" w:hint="eastAsia"/>
          <w:sz w:val="21"/>
          <w:szCs w:val="21"/>
        </w:rPr>
        <w:t>）的做法，在模型（</w:t>
      </w:r>
      <w:r>
        <w:rPr>
          <w:rFonts w:ascii="Times New Roman" w:eastAsia="宋体" w:hAnsi="Times New Roman" w:cs="Times New Roman" w:hint="eastAsia"/>
          <w:sz w:val="21"/>
          <w:szCs w:val="21"/>
        </w:rPr>
        <w:t>1</w:t>
      </w:r>
      <w:r>
        <w:rPr>
          <w:rFonts w:ascii="Times New Roman" w:eastAsia="宋体" w:hAnsi="Times New Roman" w:cs="Times New Roman" w:hint="eastAsia"/>
          <w:sz w:val="21"/>
          <w:szCs w:val="21"/>
        </w:rPr>
        <w:t>）的基础上加入政策开始前一年度的虚拟变量</w:t>
      </w:r>
      <w:proofErr w:type="spellStart"/>
      <w:r>
        <w:rPr>
          <w:rFonts w:ascii="Times New Roman" w:eastAsia="宋体" w:hAnsi="Times New Roman" w:cs="Times New Roman"/>
          <w:i/>
          <w:iCs/>
          <w:sz w:val="21"/>
          <w:szCs w:val="21"/>
        </w:rPr>
        <w:t>prepost</w:t>
      </w:r>
      <w:proofErr w:type="spellEnd"/>
      <w:r>
        <w:rPr>
          <w:rFonts w:ascii="Times New Roman" w:eastAsia="宋体" w:hAnsi="Times New Roman" w:cs="Times New Roman" w:hint="eastAsia"/>
          <w:sz w:val="21"/>
          <w:szCs w:val="21"/>
        </w:rPr>
        <w:t>与</w:t>
      </w:r>
      <w:r>
        <w:rPr>
          <w:rFonts w:ascii="Times New Roman" w:eastAsia="宋体" w:hAnsi="Times New Roman" w:cs="Times New Roman"/>
          <w:i/>
          <w:iCs/>
          <w:sz w:val="21"/>
          <w:szCs w:val="21"/>
        </w:rPr>
        <w:t>treat</w:t>
      </w:r>
      <w:r>
        <w:rPr>
          <w:rFonts w:ascii="Times New Roman" w:eastAsia="宋体" w:hAnsi="Times New Roman" w:cs="Times New Roman" w:hint="eastAsia"/>
          <w:sz w:val="21"/>
          <w:szCs w:val="21"/>
        </w:rPr>
        <w:t>的</w:t>
      </w:r>
      <w:proofErr w:type="gramStart"/>
      <w:r>
        <w:rPr>
          <w:rFonts w:ascii="Times New Roman" w:eastAsia="宋体" w:hAnsi="Times New Roman" w:cs="Times New Roman" w:hint="eastAsia"/>
          <w:sz w:val="21"/>
          <w:szCs w:val="21"/>
        </w:rPr>
        <w:t>交乘项</w:t>
      </w:r>
      <w:proofErr w:type="spellStart"/>
      <w:proofErr w:type="gramEnd"/>
      <w:r>
        <w:rPr>
          <w:rFonts w:ascii="Times New Roman" w:eastAsia="宋体" w:hAnsi="Times New Roman" w:cs="Times New Roman"/>
          <w:i/>
          <w:iCs/>
          <w:sz w:val="21"/>
          <w:szCs w:val="21"/>
        </w:rPr>
        <w:t>treat_prepost</w:t>
      </w:r>
      <w:proofErr w:type="spellEnd"/>
      <w:r>
        <w:rPr>
          <w:rFonts w:ascii="Times New Roman" w:eastAsia="宋体" w:hAnsi="Times New Roman" w:cs="Times New Roman" w:hint="eastAsia"/>
          <w:sz w:val="21"/>
          <w:szCs w:val="21"/>
        </w:rPr>
        <w:t>。具体结果见表</w:t>
      </w:r>
      <w:r>
        <w:rPr>
          <w:rFonts w:ascii="Times New Roman" w:eastAsia="宋体" w:hAnsi="Times New Roman" w:cs="Times New Roman" w:hint="eastAsia"/>
          <w:sz w:val="21"/>
          <w:szCs w:val="21"/>
        </w:rPr>
        <w:t>A2</w:t>
      </w:r>
      <w:r>
        <w:rPr>
          <w:rFonts w:ascii="Times New Roman" w:eastAsia="宋体" w:hAnsi="Times New Roman" w:cs="Times New Roman"/>
          <w:i/>
          <w:iCs/>
          <w:sz w:val="21"/>
          <w:szCs w:val="21"/>
        </w:rPr>
        <w:t>PanelA</w:t>
      </w:r>
      <w:r>
        <w:rPr>
          <w:rFonts w:ascii="Times New Roman" w:eastAsia="宋体" w:hAnsi="Times New Roman" w:cs="Times New Roman" w:hint="eastAsia"/>
          <w:sz w:val="21"/>
          <w:szCs w:val="21"/>
        </w:rPr>
        <w:t>列（</w:t>
      </w:r>
      <w:r>
        <w:rPr>
          <w:rFonts w:ascii="Times New Roman" w:eastAsia="宋体" w:hAnsi="Times New Roman" w:cs="Times New Roman"/>
          <w:sz w:val="21"/>
          <w:szCs w:val="21"/>
        </w:rPr>
        <w:t>2</w:t>
      </w:r>
      <w:r>
        <w:rPr>
          <w:rFonts w:ascii="Times New Roman" w:eastAsia="宋体" w:hAnsi="Times New Roman" w:cs="Times New Roman" w:hint="eastAsia"/>
          <w:sz w:val="21"/>
          <w:szCs w:val="21"/>
        </w:rPr>
        <w:t>）。可以看到，“繁简分流”改革的回归系数依旧显著为正，此外，在未汇报部分，对应</w:t>
      </w:r>
      <w:proofErr w:type="spellStart"/>
      <w:r>
        <w:rPr>
          <w:rFonts w:ascii="Times New Roman" w:eastAsia="宋体" w:hAnsi="Times New Roman" w:cs="Times New Roman"/>
          <w:i/>
          <w:iCs/>
          <w:sz w:val="21"/>
          <w:szCs w:val="21"/>
        </w:rPr>
        <w:t>treat_prepost</w:t>
      </w:r>
      <w:proofErr w:type="spellEnd"/>
      <w:r>
        <w:rPr>
          <w:rFonts w:ascii="Times New Roman" w:eastAsia="宋体" w:hAnsi="Times New Roman" w:cs="Times New Roman" w:hint="eastAsia"/>
          <w:sz w:val="21"/>
          <w:szCs w:val="21"/>
        </w:rPr>
        <w:t>的回归系数为</w:t>
      </w:r>
      <w:r>
        <w:rPr>
          <w:rFonts w:ascii="Times New Roman" w:eastAsia="宋体" w:hAnsi="Times New Roman" w:cs="Times New Roman" w:hint="eastAsia"/>
          <w:sz w:val="21"/>
          <w:szCs w:val="21"/>
        </w:rPr>
        <w:t>0.6741</w:t>
      </w:r>
      <w:r>
        <w:rPr>
          <w:rFonts w:ascii="Times New Roman" w:eastAsia="宋体" w:hAnsi="Times New Roman" w:cs="Times New Roman" w:hint="eastAsia"/>
          <w:sz w:val="21"/>
          <w:szCs w:val="21"/>
        </w:rPr>
        <w:t>，对应</w:t>
      </w:r>
      <w:r>
        <w:rPr>
          <w:rFonts w:ascii="Times New Roman" w:eastAsia="宋体" w:hAnsi="Times New Roman" w:cs="Times New Roman" w:hint="eastAsia"/>
          <w:i/>
          <w:iCs/>
          <w:sz w:val="21"/>
          <w:szCs w:val="21"/>
        </w:rPr>
        <w:t>t</w:t>
      </w:r>
      <w:r>
        <w:rPr>
          <w:rFonts w:ascii="Times New Roman" w:eastAsia="宋体" w:hAnsi="Times New Roman" w:cs="Times New Roman" w:hint="eastAsia"/>
          <w:sz w:val="21"/>
          <w:szCs w:val="21"/>
        </w:rPr>
        <w:t>值为</w:t>
      </w:r>
      <w:r>
        <w:rPr>
          <w:rFonts w:ascii="Times New Roman" w:eastAsia="宋体" w:hAnsi="Times New Roman" w:cs="Times New Roman" w:hint="eastAsia"/>
          <w:sz w:val="21"/>
          <w:szCs w:val="21"/>
        </w:rPr>
        <w:t>1.42</w:t>
      </w:r>
      <w:r>
        <w:rPr>
          <w:rFonts w:ascii="Times New Roman" w:eastAsia="宋体" w:hAnsi="Times New Roman" w:cs="Times New Roman" w:hint="eastAsia"/>
          <w:sz w:val="21"/>
          <w:szCs w:val="21"/>
        </w:rPr>
        <w:t>，表明上市公司对“繁简分流”改革不存在显著预期效应。</w:t>
      </w:r>
    </w:p>
    <w:p w14:paraId="64923DDB" w14:textId="77777777" w:rsidR="001C2287" w:rsidRDefault="00000000">
      <w:pPr>
        <w:spacing w:after="0" w:line="400" w:lineRule="exact"/>
        <w:ind w:firstLineChars="200" w:firstLine="422"/>
        <w:jc w:val="both"/>
        <w:rPr>
          <w:rFonts w:ascii="Times New Roman" w:eastAsia="黑体" w:hAnsi="Times New Roman" w:cs="Times New Roman"/>
          <w:b/>
          <w:bCs/>
          <w:sz w:val="21"/>
          <w:szCs w:val="22"/>
          <w14:ligatures w14:val="none"/>
        </w:rPr>
      </w:pPr>
      <w:r>
        <w:rPr>
          <w:rFonts w:ascii="Times New Roman" w:eastAsia="黑体" w:hAnsi="Times New Roman" w:cs="Times New Roman" w:hint="eastAsia"/>
          <w:b/>
          <w:bCs/>
          <w:sz w:val="21"/>
          <w:szCs w:val="22"/>
          <w14:ligatures w14:val="none"/>
        </w:rPr>
        <w:t>5.</w:t>
      </w:r>
      <w:bookmarkStart w:id="6" w:name="_Hlk215155166"/>
      <w:r>
        <w:rPr>
          <w:rFonts w:ascii="Times New Roman" w:eastAsia="黑体" w:hAnsi="Times New Roman" w:cs="Times New Roman" w:hint="eastAsia"/>
          <w:b/>
          <w:bCs/>
          <w:sz w:val="21"/>
          <w:szCs w:val="22"/>
          <w14:ligatures w14:val="none"/>
        </w:rPr>
        <w:t>双重机器学习</w:t>
      </w:r>
      <w:bookmarkEnd w:id="6"/>
    </w:p>
    <w:p w14:paraId="595BDCF0" w14:textId="77777777" w:rsidR="001C2287" w:rsidRDefault="00000000">
      <w:pPr>
        <w:spacing w:after="0" w:line="400" w:lineRule="exact"/>
        <w:ind w:firstLineChars="200" w:firstLine="420"/>
        <w:jc w:val="both"/>
        <w:rPr>
          <w:rFonts w:ascii="宋体" w:eastAsia="宋体" w:hAnsi="宋体" w:hint="eastAsia"/>
          <w:sz w:val="21"/>
          <w:szCs w:val="21"/>
        </w:rPr>
      </w:pPr>
      <w:r>
        <w:rPr>
          <w:rFonts w:ascii="宋体" w:eastAsia="宋体" w:hAnsi="宋体" w:hint="eastAsia"/>
          <w:sz w:val="21"/>
          <w:szCs w:val="21"/>
        </w:rPr>
        <w:t>双重机器学习整合了</w:t>
      </w:r>
      <w:r>
        <w:rPr>
          <w:rFonts w:ascii="宋体" w:eastAsia="宋体" w:hAnsi="宋体"/>
          <w:sz w:val="21"/>
          <w:szCs w:val="21"/>
        </w:rPr>
        <w:t>传统回归分析和现代机器学习技术</w:t>
      </w:r>
      <w:r>
        <w:rPr>
          <w:rFonts w:ascii="宋体" w:eastAsia="宋体" w:hAnsi="宋体" w:hint="eastAsia"/>
          <w:sz w:val="21"/>
          <w:szCs w:val="21"/>
        </w:rPr>
        <w:t>，可以筛选出有效的控制变量组合，并</w:t>
      </w:r>
      <w:r>
        <w:rPr>
          <w:rFonts w:ascii="宋体" w:eastAsia="宋体" w:hAnsi="宋体"/>
          <w:sz w:val="21"/>
          <w:szCs w:val="21"/>
        </w:rPr>
        <w:t>提供更加稳健和无偏的</w:t>
      </w:r>
      <w:r>
        <w:rPr>
          <w:rFonts w:ascii="宋体" w:eastAsia="宋体" w:hAnsi="宋体" w:hint="eastAsia"/>
          <w:sz w:val="21"/>
          <w:szCs w:val="21"/>
        </w:rPr>
        <w:t>参数</w:t>
      </w:r>
      <w:r>
        <w:rPr>
          <w:rFonts w:ascii="宋体" w:eastAsia="宋体" w:hAnsi="宋体"/>
          <w:sz w:val="21"/>
          <w:szCs w:val="21"/>
        </w:rPr>
        <w:t>估计</w:t>
      </w:r>
      <w:r>
        <w:rPr>
          <w:rFonts w:ascii="宋体" w:eastAsia="宋体" w:hAnsi="宋体" w:hint="eastAsia"/>
          <w:sz w:val="21"/>
          <w:szCs w:val="21"/>
        </w:rPr>
        <w:t>，在识别</w:t>
      </w:r>
      <w:r>
        <w:rPr>
          <w:rFonts w:ascii="宋体" w:eastAsia="宋体" w:hAnsi="宋体"/>
          <w:sz w:val="21"/>
          <w:szCs w:val="21"/>
        </w:rPr>
        <w:t>因果效应</w:t>
      </w:r>
      <w:r>
        <w:rPr>
          <w:rFonts w:ascii="宋体" w:eastAsia="宋体" w:hAnsi="宋体" w:hint="eastAsia"/>
          <w:sz w:val="21"/>
          <w:szCs w:val="21"/>
        </w:rPr>
        <w:t>方面具有一定优势。本文使用双重机器学习的</w:t>
      </w:r>
      <w:r>
        <w:rPr>
          <w:rFonts w:ascii="Times New Roman" w:eastAsia="宋体" w:hAnsi="Times New Roman" w:cs="Times New Roman" w:hint="eastAsia"/>
          <w:sz w:val="21"/>
          <w:szCs w:val="21"/>
        </w:rPr>
        <w:t>部分线性</w:t>
      </w:r>
      <w:r>
        <w:rPr>
          <w:rFonts w:ascii="宋体" w:eastAsia="宋体" w:hAnsi="宋体" w:hint="eastAsia"/>
          <w:sz w:val="21"/>
          <w:szCs w:val="21"/>
        </w:rPr>
        <w:t>模型（</w:t>
      </w:r>
      <w:r>
        <w:rPr>
          <w:rFonts w:ascii="Times New Roman" w:hAnsi="Times New Roman" w:cs="Times New Roman"/>
          <w:color w:val="222222"/>
          <w:sz w:val="21"/>
          <w:szCs w:val="21"/>
          <w:shd w:val="clear" w:color="auto" w:fill="FFFFFF"/>
        </w:rPr>
        <w:t>Partial Linear Model</w:t>
      </w:r>
      <w:r>
        <w:rPr>
          <w:rFonts w:ascii="宋体" w:eastAsia="宋体" w:hAnsi="宋体" w:hint="eastAsia"/>
          <w:sz w:val="21"/>
          <w:szCs w:val="21"/>
        </w:rPr>
        <w:t>）对被解释变量和解释变量进行回归检验。根据表</w:t>
      </w:r>
      <w:r>
        <w:rPr>
          <w:rFonts w:ascii="Times New Roman" w:eastAsia="宋体" w:hAnsi="Times New Roman" w:cs="Times New Roman"/>
          <w:sz w:val="21"/>
          <w:szCs w:val="21"/>
        </w:rPr>
        <w:t>A2</w:t>
      </w:r>
      <w:r>
        <w:rPr>
          <w:rFonts w:ascii="Times New Roman" w:eastAsia="宋体" w:hAnsi="Times New Roman" w:cs="Times New Roman"/>
          <w:i/>
          <w:sz w:val="21"/>
          <w:szCs w:val="21"/>
        </w:rPr>
        <w:t>PanelA</w:t>
      </w:r>
      <w:r>
        <w:rPr>
          <w:rFonts w:ascii="Times New Roman" w:eastAsia="宋体" w:hAnsi="Times New Roman" w:cs="Times New Roman" w:hint="eastAsia"/>
          <w:sz w:val="21"/>
          <w:szCs w:val="21"/>
        </w:rPr>
        <w:t>列（</w:t>
      </w:r>
      <w:r>
        <w:rPr>
          <w:rFonts w:ascii="Times New Roman" w:eastAsia="宋体" w:hAnsi="Times New Roman" w:cs="Times New Roman" w:hint="eastAsia"/>
          <w:sz w:val="21"/>
          <w:szCs w:val="21"/>
        </w:rPr>
        <w:t>3</w:t>
      </w:r>
      <w:r>
        <w:rPr>
          <w:rFonts w:ascii="Times New Roman" w:eastAsia="宋体" w:hAnsi="Times New Roman" w:cs="Times New Roman" w:hint="eastAsia"/>
          <w:sz w:val="21"/>
          <w:szCs w:val="21"/>
        </w:rPr>
        <w:t>）显示，“繁简分流”改革对上市公司异地合作授权专利数量的回归系数显著为正，表明基准结论是稳健的。</w:t>
      </w:r>
    </w:p>
    <w:p w14:paraId="3437CFFC" w14:textId="77777777" w:rsidR="001C2287" w:rsidRDefault="00000000">
      <w:pPr>
        <w:spacing w:after="0" w:line="400" w:lineRule="exact"/>
        <w:ind w:firstLineChars="200" w:firstLine="422"/>
        <w:jc w:val="both"/>
        <w:rPr>
          <w:rFonts w:ascii="Times New Roman" w:eastAsia="黑体" w:hAnsi="Times New Roman" w:cs="Times New Roman"/>
          <w:b/>
          <w:bCs/>
          <w:sz w:val="21"/>
          <w:szCs w:val="22"/>
          <w14:ligatures w14:val="none"/>
        </w:rPr>
      </w:pPr>
      <w:r>
        <w:rPr>
          <w:rFonts w:ascii="Times New Roman" w:eastAsia="黑体" w:hAnsi="Times New Roman" w:cs="Times New Roman" w:hint="eastAsia"/>
          <w:b/>
          <w:bCs/>
          <w:sz w:val="21"/>
          <w:szCs w:val="22"/>
          <w14:ligatures w14:val="none"/>
        </w:rPr>
        <w:t>6.</w:t>
      </w:r>
      <w:bookmarkStart w:id="7" w:name="_Hlk215155175"/>
      <w:r>
        <w:rPr>
          <w:rFonts w:ascii="Times New Roman" w:eastAsia="黑体" w:hAnsi="Times New Roman" w:cs="Times New Roman" w:hint="eastAsia"/>
          <w:b/>
          <w:bCs/>
          <w:sz w:val="21"/>
          <w:szCs w:val="22"/>
          <w14:ligatures w14:val="none"/>
        </w:rPr>
        <w:t>Heckman</w:t>
      </w:r>
      <w:r>
        <w:rPr>
          <w:rFonts w:ascii="Times New Roman" w:eastAsia="黑体" w:hAnsi="Times New Roman" w:cs="Times New Roman" w:hint="eastAsia"/>
          <w:b/>
          <w:bCs/>
          <w:sz w:val="21"/>
          <w:szCs w:val="22"/>
          <w14:ligatures w14:val="none"/>
        </w:rPr>
        <w:t>两步法</w:t>
      </w:r>
      <w:bookmarkEnd w:id="7"/>
    </w:p>
    <w:p w14:paraId="5C32C67E" w14:textId="77777777" w:rsidR="001C2287" w:rsidRDefault="00000000">
      <w:pPr>
        <w:spacing w:after="0" w:line="400" w:lineRule="exact"/>
        <w:ind w:firstLineChars="200" w:firstLine="420"/>
        <w:jc w:val="both"/>
        <w:rPr>
          <w:rFonts w:ascii="Times New Roman" w:eastAsia="宋体" w:hAnsi="Times New Roman" w:cs="Times New Roman"/>
          <w:kern w:val="0"/>
          <w:sz w:val="21"/>
          <w:szCs w:val="21"/>
        </w:rPr>
      </w:pPr>
      <w:r>
        <w:rPr>
          <w:rFonts w:ascii="Times New Roman" w:eastAsia="宋体" w:hAnsi="Times New Roman" w:cs="Times New Roman"/>
          <w:sz w:val="21"/>
          <w:szCs w:val="21"/>
        </w:rPr>
        <w:t>由于</w:t>
      </w:r>
      <w:r>
        <w:rPr>
          <w:rFonts w:ascii="Times New Roman" w:eastAsia="宋体" w:hAnsi="Times New Roman" w:cs="Times New Roman" w:hint="eastAsia"/>
          <w:sz w:val="21"/>
          <w:szCs w:val="21"/>
        </w:rPr>
        <w:t>在本文进行样本清洗时剔除了诸如</w:t>
      </w:r>
      <w:r>
        <w:rPr>
          <w:rFonts w:ascii="Times New Roman" w:eastAsia="宋体" w:hAnsi="Times New Roman" w:cs="Times New Roman" w:hint="eastAsia"/>
          <w:sz w:val="21"/>
          <w:szCs w:val="21"/>
        </w:rPr>
        <w:t>ST</w:t>
      </w:r>
      <w:r>
        <w:rPr>
          <w:rFonts w:ascii="Times New Roman" w:eastAsia="宋体" w:hAnsi="Times New Roman" w:cs="Times New Roman" w:hint="eastAsia"/>
          <w:sz w:val="21"/>
          <w:szCs w:val="21"/>
        </w:rPr>
        <w:t>、</w:t>
      </w:r>
      <w:r>
        <w:rPr>
          <w:rFonts w:ascii="Times New Roman" w:eastAsia="宋体" w:hAnsi="Times New Roman" w:cs="Times New Roman" w:hint="eastAsia"/>
          <w:sz w:val="21"/>
          <w:szCs w:val="21"/>
        </w:rPr>
        <w:t>IPO</w:t>
      </w:r>
      <w:r>
        <w:rPr>
          <w:rFonts w:ascii="Times New Roman" w:eastAsia="宋体" w:hAnsi="Times New Roman" w:cs="Times New Roman" w:hint="eastAsia"/>
          <w:sz w:val="21"/>
          <w:szCs w:val="21"/>
        </w:rPr>
        <w:t>等不符合条件的样本，这些样本的跨区域合作创新信息没有得到保留，从而可能导致实证结果</w:t>
      </w:r>
      <w:r>
        <w:rPr>
          <w:rFonts w:ascii="Times New Roman" w:eastAsia="宋体" w:hAnsi="Times New Roman" w:cs="Times New Roman"/>
          <w:sz w:val="21"/>
          <w:szCs w:val="21"/>
        </w:rPr>
        <w:t>存在样本选择偏误问题</w:t>
      </w:r>
      <w:r>
        <w:rPr>
          <w:rFonts w:ascii="Times New Roman" w:eastAsia="宋体" w:hAnsi="Times New Roman" w:cs="Times New Roman" w:hint="eastAsia"/>
          <w:sz w:val="21"/>
          <w:szCs w:val="21"/>
        </w:rPr>
        <w:t>，因此我们</w:t>
      </w:r>
      <w:r>
        <w:rPr>
          <w:rFonts w:ascii="Times New Roman" w:eastAsia="宋体" w:hAnsi="Times New Roman" w:cs="Times New Roman"/>
          <w:sz w:val="21"/>
          <w:szCs w:val="21"/>
        </w:rPr>
        <w:t>使用</w:t>
      </w:r>
      <w:r>
        <w:rPr>
          <w:rFonts w:ascii="Times New Roman" w:eastAsia="宋体" w:hAnsi="Times New Roman" w:cs="Times New Roman"/>
          <w:sz w:val="21"/>
          <w:szCs w:val="21"/>
        </w:rPr>
        <w:t>Heckman</w:t>
      </w:r>
      <w:r>
        <w:rPr>
          <w:rFonts w:ascii="Times New Roman" w:eastAsia="宋体" w:hAnsi="Times New Roman" w:cs="Times New Roman"/>
          <w:sz w:val="21"/>
          <w:szCs w:val="21"/>
        </w:rPr>
        <w:t>两阶段法来缓解</w:t>
      </w:r>
      <w:r>
        <w:rPr>
          <w:rFonts w:ascii="Times New Roman" w:eastAsia="宋体" w:hAnsi="Times New Roman" w:cs="Times New Roman" w:hint="eastAsia"/>
          <w:sz w:val="21"/>
          <w:szCs w:val="21"/>
        </w:rPr>
        <w:t>这一问题</w:t>
      </w:r>
      <w:r>
        <w:rPr>
          <w:rFonts w:ascii="Times New Roman" w:eastAsia="宋体" w:hAnsi="Times New Roman" w:cs="Times New Roman"/>
          <w:sz w:val="21"/>
          <w:szCs w:val="21"/>
        </w:rPr>
        <w:t>对研究结论的潜在影响。具体而言，在第一阶段回归中，本文将上市公司</w:t>
      </w:r>
      <w:r>
        <w:rPr>
          <w:rFonts w:ascii="Times New Roman" w:eastAsia="宋体" w:hAnsi="Times New Roman" w:cs="Times New Roman" w:hint="eastAsia"/>
          <w:sz w:val="21"/>
          <w:szCs w:val="21"/>
        </w:rPr>
        <w:t>“是否进行跨区域合作创新”</w:t>
      </w:r>
      <w:r>
        <w:rPr>
          <w:rFonts w:ascii="Times New Roman" w:eastAsia="宋体" w:hAnsi="Times New Roman" w:cs="Times New Roman"/>
          <w:sz w:val="21"/>
          <w:szCs w:val="21"/>
        </w:rPr>
        <w:t>作为被解释变量（如果上市公司</w:t>
      </w:r>
      <w:r>
        <w:rPr>
          <w:rFonts w:ascii="Times New Roman" w:eastAsia="宋体" w:hAnsi="Times New Roman" w:cs="Times New Roman" w:hint="eastAsia"/>
          <w:sz w:val="21"/>
          <w:szCs w:val="21"/>
        </w:rPr>
        <w:t>在当年度的异地合作授权专利数量大于</w:t>
      </w:r>
      <w:r>
        <w:rPr>
          <w:rFonts w:ascii="Times New Roman" w:eastAsia="宋体" w:hAnsi="Times New Roman" w:cs="Times New Roman" w:hint="eastAsia"/>
          <w:sz w:val="21"/>
          <w:szCs w:val="21"/>
        </w:rPr>
        <w:t>0</w:t>
      </w:r>
      <w:r>
        <w:rPr>
          <w:rFonts w:ascii="Times New Roman" w:eastAsia="宋体" w:hAnsi="Times New Roman" w:cs="Times New Roman"/>
          <w:sz w:val="21"/>
          <w:szCs w:val="21"/>
        </w:rPr>
        <w:t>，取值为</w:t>
      </w:r>
      <w:r>
        <w:rPr>
          <w:rFonts w:ascii="Times New Roman" w:eastAsia="宋体" w:hAnsi="Times New Roman" w:cs="Times New Roman"/>
          <w:sz w:val="21"/>
          <w:szCs w:val="21"/>
        </w:rPr>
        <w:t>1</w:t>
      </w:r>
      <w:r>
        <w:rPr>
          <w:rFonts w:ascii="Times New Roman" w:eastAsia="宋体" w:hAnsi="Times New Roman" w:cs="Times New Roman"/>
          <w:sz w:val="21"/>
          <w:szCs w:val="21"/>
        </w:rPr>
        <w:t>，否则取值为</w:t>
      </w:r>
      <w:r>
        <w:rPr>
          <w:rFonts w:ascii="Times New Roman" w:eastAsia="宋体" w:hAnsi="Times New Roman" w:cs="Times New Roman"/>
          <w:sz w:val="21"/>
          <w:szCs w:val="21"/>
        </w:rPr>
        <w:t>0</w:t>
      </w:r>
      <w:r>
        <w:rPr>
          <w:rFonts w:ascii="Times New Roman" w:eastAsia="宋体" w:hAnsi="Times New Roman" w:cs="Times New Roman"/>
          <w:sz w:val="21"/>
          <w:szCs w:val="21"/>
        </w:rPr>
        <w:t>），将</w:t>
      </w:r>
      <w:r>
        <w:rPr>
          <w:rFonts w:ascii="Times New Roman" w:eastAsia="宋体" w:hAnsi="Times New Roman" w:cs="Times New Roman" w:hint="eastAsia"/>
          <w:sz w:val="21"/>
          <w:szCs w:val="21"/>
        </w:rPr>
        <w:t>各控制变量事前值（</w:t>
      </w:r>
      <w:r>
        <w:rPr>
          <w:rFonts w:ascii="Times New Roman" w:eastAsia="宋体" w:hAnsi="Times New Roman" w:cs="Times New Roman"/>
          <w:sz w:val="21"/>
          <w:szCs w:val="21"/>
        </w:rPr>
        <w:t>2019</w:t>
      </w:r>
      <w:r>
        <w:rPr>
          <w:rFonts w:ascii="Times New Roman" w:eastAsia="宋体" w:hAnsi="Times New Roman" w:cs="Times New Roman" w:hint="eastAsia"/>
          <w:sz w:val="21"/>
          <w:szCs w:val="21"/>
        </w:rPr>
        <w:t>年）与时间趋势</w:t>
      </w:r>
      <w:r>
        <w:rPr>
          <w:rFonts w:ascii="Times New Roman" w:eastAsia="宋体" w:hAnsi="Times New Roman" w:cs="Times New Roman"/>
          <w:sz w:val="21"/>
          <w:szCs w:val="21"/>
        </w:rPr>
        <w:t>t</w:t>
      </w:r>
      <w:r>
        <w:rPr>
          <w:rFonts w:ascii="Times New Roman" w:eastAsia="宋体" w:hAnsi="Times New Roman" w:cs="Times New Roman" w:hint="eastAsia"/>
          <w:sz w:val="21"/>
          <w:szCs w:val="21"/>
        </w:rPr>
        <w:t>的</w:t>
      </w:r>
      <w:proofErr w:type="gramStart"/>
      <w:r>
        <w:rPr>
          <w:rFonts w:ascii="Times New Roman" w:eastAsia="宋体" w:hAnsi="Times New Roman" w:cs="Times New Roman" w:hint="eastAsia"/>
          <w:sz w:val="21"/>
          <w:szCs w:val="21"/>
        </w:rPr>
        <w:t>交乘项</w:t>
      </w:r>
      <w:proofErr w:type="gramEnd"/>
      <w:r>
        <w:rPr>
          <w:rFonts w:ascii="Times New Roman" w:eastAsia="宋体" w:hAnsi="Times New Roman" w:cs="Times New Roman"/>
          <w:sz w:val="21"/>
          <w:szCs w:val="21"/>
        </w:rPr>
        <w:t>作为解释变量，在此基础上进行</w:t>
      </w:r>
      <w:r>
        <w:rPr>
          <w:rFonts w:ascii="Times New Roman" w:eastAsia="宋体" w:hAnsi="Times New Roman" w:cs="Times New Roman"/>
          <w:sz w:val="21"/>
          <w:szCs w:val="21"/>
        </w:rPr>
        <w:t>Probit</w:t>
      </w:r>
      <w:r>
        <w:rPr>
          <w:rFonts w:ascii="Times New Roman" w:eastAsia="宋体" w:hAnsi="Times New Roman" w:cs="Times New Roman"/>
          <w:sz w:val="21"/>
          <w:szCs w:val="21"/>
        </w:rPr>
        <w:t>回归，并</w:t>
      </w:r>
      <w:proofErr w:type="gramStart"/>
      <w:r>
        <w:rPr>
          <w:rFonts w:ascii="Times New Roman" w:eastAsia="宋体" w:hAnsi="Times New Roman" w:cs="Times New Roman"/>
          <w:sz w:val="21"/>
          <w:szCs w:val="21"/>
        </w:rPr>
        <w:t>基于第一</w:t>
      </w:r>
      <w:proofErr w:type="gramEnd"/>
      <w:r>
        <w:rPr>
          <w:rFonts w:ascii="Times New Roman" w:eastAsia="宋体" w:hAnsi="Times New Roman" w:cs="Times New Roman"/>
          <w:sz w:val="21"/>
          <w:szCs w:val="21"/>
        </w:rPr>
        <w:t>阶段回归结果</w:t>
      </w:r>
      <w:proofErr w:type="gramStart"/>
      <w:r>
        <w:rPr>
          <w:rFonts w:ascii="Times New Roman" w:eastAsia="宋体" w:hAnsi="Times New Roman" w:cs="Times New Roman"/>
          <w:sz w:val="21"/>
          <w:szCs w:val="21"/>
        </w:rPr>
        <w:t>计算逆米尔</w:t>
      </w:r>
      <w:proofErr w:type="gramEnd"/>
      <w:r>
        <w:rPr>
          <w:rFonts w:ascii="Times New Roman" w:eastAsia="宋体" w:hAnsi="Times New Roman" w:cs="Times New Roman"/>
          <w:sz w:val="21"/>
          <w:szCs w:val="21"/>
        </w:rPr>
        <w:t>斯比率（</w:t>
      </w:r>
      <w:r>
        <w:rPr>
          <w:rFonts w:ascii="Times New Roman" w:eastAsia="宋体" w:hAnsi="Times New Roman" w:cs="Times New Roman"/>
          <w:sz w:val="21"/>
          <w:szCs w:val="21"/>
        </w:rPr>
        <w:t>IMR</w:t>
      </w:r>
      <w:r>
        <w:rPr>
          <w:rFonts w:ascii="Times New Roman" w:eastAsia="宋体" w:hAnsi="Times New Roman" w:cs="Times New Roman"/>
          <w:sz w:val="21"/>
          <w:szCs w:val="21"/>
        </w:rPr>
        <w:t>）。然后将第一阶段计算得到</w:t>
      </w:r>
      <w:proofErr w:type="gramStart"/>
      <w:r>
        <w:rPr>
          <w:rFonts w:ascii="Times New Roman" w:eastAsia="宋体" w:hAnsi="Times New Roman" w:cs="Times New Roman"/>
          <w:sz w:val="21"/>
          <w:szCs w:val="21"/>
        </w:rPr>
        <w:t>的逆米尔</w:t>
      </w:r>
      <w:proofErr w:type="gramEnd"/>
      <w:r>
        <w:rPr>
          <w:rFonts w:ascii="Times New Roman" w:eastAsia="宋体" w:hAnsi="Times New Roman" w:cs="Times New Roman"/>
          <w:sz w:val="21"/>
          <w:szCs w:val="21"/>
        </w:rPr>
        <w:t>斯比率（</w:t>
      </w:r>
      <w:r>
        <w:rPr>
          <w:rFonts w:ascii="Times New Roman" w:eastAsia="宋体" w:hAnsi="Times New Roman" w:cs="Times New Roman"/>
          <w:sz w:val="21"/>
          <w:szCs w:val="21"/>
        </w:rPr>
        <w:t>IMR</w:t>
      </w:r>
      <w:r>
        <w:rPr>
          <w:rFonts w:ascii="Times New Roman" w:eastAsia="宋体" w:hAnsi="Times New Roman" w:cs="Times New Roman"/>
          <w:sz w:val="21"/>
          <w:szCs w:val="21"/>
        </w:rPr>
        <w:t>）放入基准回归模型进行第二阶段回归。限于篇幅，本文只展示第二阶段回归结果，具体见</w:t>
      </w:r>
      <w:r>
        <w:rPr>
          <w:rFonts w:ascii="Times New Roman" w:eastAsia="宋体" w:hAnsi="Times New Roman" w:cs="Times New Roman"/>
          <w:kern w:val="0"/>
          <w:sz w:val="21"/>
          <w:szCs w:val="21"/>
        </w:rPr>
        <w:t>表</w:t>
      </w:r>
      <w:r>
        <w:rPr>
          <w:rFonts w:ascii="Times New Roman" w:eastAsia="宋体" w:hAnsi="Times New Roman" w:cs="Times New Roman"/>
          <w:kern w:val="0"/>
          <w:sz w:val="21"/>
          <w:szCs w:val="21"/>
        </w:rPr>
        <w:t>A2</w:t>
      </w:r>
      <w:r>
        <w:rPr>
          <w:rFonts w:ascii="Times New Roman" w:eastAsia="宋体" w:hAnsi="Times New Roman" w:cs="Times New Roman"/>
          <w:i/>
          <w:iCs/>
          <w:sz w:val="21"/>
          <w:szCs w:val="21"/>
        </w:rPr>
        <w:t>PanelA</w:t>
      </w:r>
      <w:r>
        <w:rPr>
          <w:rFonts w:ascii="Times New Roman" w:eastAsia="宋体" w:hAnsi="Times New Roman" w:cs="Times New Roman"/>
          <w:kern w:val="0"/>
          <w:sz w:val="21"/>
          <w:szCs w:val="21"/>
        </w:rPr>
        <w:t>列（</w:t>
      </w:r>
      <w:r>
        <w:rPr>
          <w:rFonts w:ascii="Times New Roman" w:eastAsia="宋体" w:hAnsi="Times New Roman" w:cs="Times New Roman" w:hint="eastAsia"/>
          <w:kern w:val="0"/>
          <w:sz w:val="21"/>
          <w:szCs w:val="21"/>
        </w:rPr>
        <w:t>4</w:t>
      </w:r>
      <w:r>
        <w:rPr>
          <w:rFonts w:ascii="Times New Roman" w:eastAsia="宋体" w:hAnsi="Times New Roman" w:cs="Times New Roman"/>
          <w:kern w:val="0"/>
          <w:sz w:val="21"/>
          <w:szCs w:val="21"/>
        </w:rPr>
        <w:t>）。结果显示，</w:t>
      </w:r>
      <w:r>
        <w:rPr>
          <w:rFonts w:ascii="Times New Roman" w:eastAsia="宋体" w:hAnsi="Times New Roman" w:cs="Times New Roman" w:hint="eastAsia"/>
          <w:sz w:val="21"/>
          <w:szCs w:val="21"/>
        </w:rPr>
        <w:t>“繁简分流”改革</w:t>
      </w:r>
      <w:r>
        <w:rPr>
          <w:rFonts w:ascii="Times New Roman" w:eastAsia="宋体" w:hAnsi="Times New Roman" w:cs="Times New Roman"/>
          <w:sz w:val="21"/>
          <w:szCs w:val="21"/>
        </w:rPr>
        <w:t>对</w:t>
      </w:r>
      <w:r>
        <w:rPr>
          <w:rFonts w:ascii="Times New Roman" w:eastAsia="宋体" w:hAnsi="Times New Roman" w:cs="Times New Roman" w:hint="eastAsia"/>
          <w:sz w:val="21"/>
          <w:szCs w:val="21"/>
        </w:rPr>
        <w:t>上市公司异地合作授权专利数量</w:t>
      </w:r>
      <w:r>
        <w:rPr>
          <w:rFonts w:ascii="Times New Roman" w:eastAsia="宋体" w:hAnsi="Times New Roman" w:cs="Times New Roman"/>
          <w:sz w:val="21"/>
          <w:szCs w:val="21"/>
        </w:rPr>
        <w:t>的回归系数</w:t>
      </w:r>
      <w:r>
        <w:rPr>
          <w:rFonts w:ascii="Times New Roman" w:eastAsia="宋体" w:hAnsi="Times New Roman" w:cs="Times New Roman"/>
          <w:kern w:val="0"/>
          <w:sz w:val="21"/>
          <w:szCs w:val="21"/>
        </w:rPr>
        <w:t>显著为正。以上结果</w:t>
      </w:r>
      <w:r>
        <w:rPr>
          <w:rFonts w:ascii="Times New Roman" w:eastAsia="宋体" w:hAnsi="Times New Roman" w:cs="Times New Roman" w:hint="eastAsia"/>
          <w:kern w:val="0"/>
          <w:sz w:val="21"/>
          <w:szCs w:val="21"/>
        </w:rPr>
        <w:t>说明本文的基准</w:t>
      </w:r>
      <w:r>
        <w:rPr>
          <w:rFonts w:ascii="Times New Roman" w:eastAsia="宋体" w:hAnsi="Times New Roman" w:cs="Times New Roman"/>
          <w:kern w:val="0"/>
          <w:sz w:val="21"/>
          <w:szCs w:val="21"/>
        </w:rPr>
        <w:t>结果</w:t>
      </w:r>
      <w:r>
        <w:rPr>
          <w:rFonts w:ascii="Times New Roman" w:eastAsia="宋体" w:hAnsi="Times New Roman" w:cs="Times New Roman" w:hint="eastAsia"/>
          <w:kern w:val="0"/>
          <w:sz w:val="21"/>
          <w:szCs w:val="21"/>
        </w:rPr>
        <w:t>比较</w:t>
      </w:r>
      <w:r>
        <w:rPr>
          <w:rFonts w:ascii="Times New Roman" w:eastAsia="宋体" w:hAnsi="Times New Roman" w:cs="Times New Roman"/>
          <w:kern w:val="0"/>
          <w:sz w:val="21"/>
          <w:szCs w:val="21"/>
        </w:rPr>
        <w:t>稳健。</w:t>
      </w:r>
    </w:p>
    <w:p w14:paraId="22F5C8B6" w14:textId="77777777" w:rsidR="001C2287" w:rsidRDefault="00000000">
      <w:pPr>
        <w:spacing w:after="0" w:line="400" w:lineRule="exact"/>
        <w:ind w:firstLineChars="200" w:firstLine="422"/>
        <w:jc w:val="both"/>
        <w:rPr>
          <w:rFonts w:ascii="Times New Roman" w:eastAsia="黑体" w:hAnsi="Times New Roman" w:cs="Times New Roman"/>
          <w:b/>
          <w:bCs/>
          <w:sz w:val="21"/>
          <w:szCs w:val="22"/>
          <w14:ligatures w14:val="none"/>
        </w:rPr>
      </w:pPr>
      <w:r>
        <w:rPr>
          <w:rFonts w:ascii="Times New Roman" w:eastAsia="黑体" w:hAnsi="Times New Roman" w:cs="Times New Roman"/>
          <w:b/>
          <w:bCs/>
          <w:sz w:val="21"/>
          <w:szCs w:val="22"/>
          <w14:ligatures w14:val="none"/>
        </w:rPr>
        <w:t>7.</w:t>
      </w:r>
      <w:bookmarkStart w:id="8" w:name="_Hlk215155181"/>
      <w:r>
        <w:rPr>
          <w:rFonts w:ascii="Times New Roman" w:eastAsia="黑体" w:hAnsi="Times New Roman" w:cs="Times New Roman"/>
          <w:b/>
          <w:bCs/>
          <w:sz w:val="21"/>
          <w:szCs w:val="22"/>
          <w14:ligatures w14:val="none"/>
        </w:rPr>
        <w:t>被解释变量提前一期</w:t>
      </w:r>
    </w:p>
    <w:bookmarkEnd w:id="8"/>
    <w:p w14:paraId="4A21A809" w14:textId="77777777" w:rsidR="001C2287" w:rsidRDefault="00000000">
      <w:pPr>
        <w:spacing w:after="0" w:line="400" w:lineRule="exact"/>
        <w:ind w:firstLineChars="200" w:firstLine="420"/>
        <w:jc w:val="both"/>
        <w:rPr>
          <w:rFonts w:ascii="Times New Roman" w:eastAsia="宋体" w:hAnsi="Times New Roman" w:cs="Times New Roman"/>
          <w:sz w:val="21"/>
          <w:szCs w:val="21"/>
        </w:rPr>
      </w:pPr>
      <w:r>
        <w:rPr>
          <w:rFonts w:ascii="Times New Roman" w:eastAsia="宋体" w:hAnsi="Times New Roman" w:cs="Times New Roman" w:hint="eastAsia"/>
          <w:sz w:val="21"/>
          <w:szCs w:val="21"/>
        </w:rPr>
        <w:t>研究假说认为“繁简分流”改革能够促进企业跨区域合作创新，而该结论的正确与否需要建立在无反向因果关系的前提下。因此为了排除反向因果关系的干扰，本文将被解释变量进行提前一期处理，并在此基础上重新进行回归，回归结果见</w:t>
      </w:r>
      <w:r>
        <w:rPr>
          <w:rFonts w:ascii="宋体" w:eastAsia="宋体" w:hAnsi="宋体" w:cs="Times New Roman" w:hint="eastAsia"/>
          <w:kern w:val="0"/>
          <w:sz w:val="21"/>
          <w:szCs w:val="21"/>
        </w:rPr>
        <w:t>表</w:t>
      </w:r>
      <w:r>
        <w:rPr>
          <w:rFonts w:ascii="Times New Roman" w:eastAsia="宋体" w:hAnsi="Times New Roman" w:cs="Times New Roman"/>
          <w:kern w:val="0"/>
          <w:sz w:val="21"/>
          <w:szCs w:val="21"/>
        </w:rPr>
        <w:t>A2</w:t>
      </w:r>
      <w:r>
        <w:rPr>
          <w:rFonts w:ascii="Times New Roman" w:eastAsia="宋体" w:hAnsi="Times New Roman" w:cs="Times New Roman"/>
          <w:i/>
          <w:iCs/>
          <w:sz w:val="21"/>
          <w:szCs w:val="21"/>
        </w:rPr>
        <w:t>PanelB</w:t>
      </w:r>
      <w:r>
        <w:rPr>
          <w:rFonts w:ascii="Times New Roman" w:eastAsia="宋体" w:hAnsi="Times New Roman" w:cs="Times New Roman"/>
          <w:kern w:val="0"/>
          <w:sz w:val="21"/>
          <w:szCs w:val="21"/>
        </w:rPr>
        <w:t>列（</w:t>
      </w:r>
      <w:r>
        <w:rPr>
          <w:rFonts w:ascii="Times New Roman" w:eastAsia="宋体" w:hAnsi="Times New Roman" w:cs="Times New Roman"/>
          <w:kern w:val="0"/>
          <w:sz w:val="21"/>
          <w:szCs w:val="21"/>
        </w:rPr>
        <w:t>1</w:t>
      </w:r>
      <w:r>
        <w:rPr>
          <w:rFonts w:ascii="Times New Roman" w:eastAsia="宋体" w:hAnsi="Times New Roman" w:cs="Times New Roman"/>
          <w:kern w:val="0"/>
          <w:sz w:val="21"/>
          <w:szCs w:val="21"/>
        </w:rPr>
        <w:t>）</w:t>
      </w:r>
      <w:r>
        <w:rPr>
          <w:rFonts w:ascii="Times New Roman" w:eastAsia="宋体" w:hAnsi="Times New Roman" w:cs="Times New Roman" w:hint="eastAsia"/>
          <w:sz w:val="21"/>
          <w:szCs w:val="21"/>
        </w:rPr>
        <w:t>。结果显示，提前一期的“繁简分流”改革对上市公司异地合作授权专利数量的回归系数在</w:t>
      </w:r>
      <w:r>
        <w:rPr>
          <w:rFonts w:ascii="Times New Roman" w:eastAsia="宋体" w:hAnsi="Times New Roman" w:cs="Times New Roman"/>
          <w:sz w:val="21"/>
          <w:szCs w:val="21"/>
        </w:rPr>
        <w:t>1%</w:t>
      </w:r>
      <w:r>
        <w:rPr>
          <w:rFonts w:ascii="Times New Roman" w:eastAsia="宋体" w:hAnsi="Times New Roman" w:cs="Times New Roman" w:hint="eastAsia"/>
          <w:sz w:val="21"/>
          <w:szCs w:val="21"/>
        </w:rPr>
        <w:t>水平上显著为正，与前文回归结果一致，说明本文结论不受反向因果关系干扰。</w:t>
      </w:r>
    </w:p>
    <w:p w14:paraId="08384AC6" w14:textId="77777777" w:rsidR="001C2287" w:rsidRDefault="00000000">
      <w:pPr>
        <w:spacing w:after="0" w:line="400" w:lineRule="exact"/>
        <w:ind w:firstLineChars="200" w:firstLine="422"/>
        <w:jc w:val="both"/>
        <w:rPr>
          <w:rFonts w:ascii="Times New Roman" w:eastAsia="黑体" w:hAnsi="Times New Roman" w:cs="Times New Roman"/>
          <w:b/>
          <w:bCs/>
          <w:sz w:val="21"/>
          <w:szCs w:val="22"/>
          <w14:ligatures w14:val="none"/>
        </w:rPr>
      </w:pPr>
      <w:r>
        <w:rPr>
          <w:rFonts w:ascii="Times New Roman" w:eastAsia="黑体" w:hAnsi="Times New Roman" w:cs="Times New Roman" w:hint="eastAsia"/>
          <w:b/>
          <w:bCs/>
          <w:sz w:val="21"/>
          <w:szCs w:val="22"/>
          <w14:ligatures w14:val="none"/>
        </w:rPr>
        <w:t>8.</w:t>
      </w:r>
      <w:bookmarkStart w:id="9" w:name="_Hlk215155191"/>
      <w:r>
        <w:rPr>
          <w:rFonts w:ascii="Times New Roman" w:eastAsia="黑体" w:hAnsi="Times New Roman" w:cs="Times New Roman"/>
          <w:b/>
          <w:bCs/>
          <w:sz w:val="21"/>
          <w:szCs w:val="22"/>
          <w14:ligatures w14:val="none"/>
        </w:rPr>
        <w:t>替换</w:t>
      </w:r>
      <w:r>
        <w:rPr>
          <w:rFonts w:ascii="Times New Roman" w:eastAsia="黑体" w:hAnsi="Times New Roman" w:cs="Times New Roman" w:hint="eastAsia"/>
          <w:b/>
          <w:bCs/>
          <w:sz w:val="21"/>
          <w:szCs w:val="22"/>
          <w14:ligatures w14:val="none"/>
        </w:rPr>
        <w:t>被</w:t>
      </w:r>
      <w:r>
        <w:rPr>
          <w:rFonts w:ascii="Times New Roman" w:eastAsia="黑体" w:hAnsi="Times New Roman" w:cs="Times New Roman"/>
          <w:b/>
          <w:bCs/>
          <w:sz w:val="21"/>
          <w:szCs w:val="22"/>
          <w14:ligatures w14:val="none"/>
        </w:rPr>
        <w:t>解释变量</w:t>
      </w:r>
    </w:p>
    <w:bookmarkEnd w:id="9"/>
    <w:p w14:paraId="729937D0" w14:textId="77777777" w:rsidR="001C2287" w:rsidRDefault="00000000">
      <w:pPr>
        <w:spacing w:after="0" w:line="400" w:lineRule="exact"/>
        <w:ind w:firstLineChars="200" w:firstLine="420"/>
        <w:jc w:val="both"/>
        <w:rPr>
          <w:rFonts w:ascii="Times New Roman" w:eastAsia="宋体" w:hAnsi="Times New Roman" w:cs="Times New Roman"/>
          <w:sz w:val="21"/>
          <w:szCs w:val="21"/>
        </w:rPr>
      </w:pPr>
      <w:r>
        <w:rPr>
          <w:rFonts w:ascii="宋体" w:eastAsia="宋体" w:hAnsi="宋体" w:cs="Times New Roman" w:hint="eastAsia"/>
          <w:kern w:val="0"/>
          <w:sz w:val="21"/>
          <w:szCs w:val="21"/>
        </w:rPr>
        <w:t>为了缓解代理变量的衡量偏误，本文拟使用</w:t>
      </w:r>
      <w:r>
        <w:rPr>
          <w:rFonts w:ascii="Times New Roman" w:eastAsia="宋体" w:hAnsi="Times New Roman" w:cs="Times New Roman" w:hint="eastAsia"/>
          <w:sz w:val="21"/>
          <w:szCs w:val="21"/>
        </w:rPr>
        <w:t>上市公司异地合作申请发明专利数量取自然对数</w:t>
      </w:r>
      <w:r>
        <w:rPr>
          <w:rFonts w:ascii="宋体" w:eastAsia="宋体" w:hAnsi="宋体" w:cs="Times New Roman" w:hint="eastAsia"/>
          <w:kern w:val="0"/>
          <w:sz w:val="21"/>
          <w:szCs w:val="21"/>
        </w:rPr>
        <w:t>作为被解释变量重新进行回归，结果见表</w:t>
      </w:r>
      <w:r>
        <w:rPr>
          <w:rFonts w:ascii="Times New Roman" w:eastAsia="宋体" w:hAnsi="Times New Roman" w:cs="Times New Roman"/>
          <w:kern w:val="0"/>
          <w:sz w:val="21"/>
          <w:szCs w:val="21"/>
        </w:rPr>
        <w:t>A2</w:t>
      </w:r>
      <w:r>
        <w:rPr>
          <w:rFonts w:ascii="Times New Roman" w:eastAsia="宋体" w:hAnsi="Times New Roman" w:cs="Times New Roman"/>
          <w:i/>
          <w:iCs/>
          <w:sz w:val="21"/>
          <w:szCs w:val="21"/>
        </w:rPr>
        <w:t>Panel</w:t>
      </w:r>
      <w:r>
        <w:rPr>
          <w:rFonts w:ascii="Times New Roman" w:eastAsia="宋体" w:hAnsi="Times New Roman" w:cs="Times New Roman" w:hint="eastAsia"/>
          <w:i/>
          <w:iCs/>
          <w:sz w:val="21"/>
          <w:szCs w:val="21"/>
        </w:rPr>
        <w:t>B</w:t>
      </w:r>
      <w:r>
        <w:rPr>
          <w:rFonts w:ascii="Times New Roman" w:eastAsia="宋体" w:hAnsi="Times New Roman" w:cs="Times New Roman"/>
          <w:kern w:val="0"/>
          <w:sz w:val="21"/>
          <w:szCs w:val="21"/>
        </w:rPr>
        <w:t>列（</w:t>
      </w:r>
      <w:r>
        <w:rPr>
          <w:rFonts w:ascii="Times New Roman" w:eastAsia="宋体" w:hAnsi="Times New Roman" w:cs="Times New Roman" w:hint="eastAsia"/>
          <w:kern w:val="0"/>
          <w:sz w:val="21"/>
          <w:szCs w:val="21"/>
        </w:rPr>
        <w:t>2</w:t>
      </w:r>
      <w:r>
        <w:rPr>
          <w:rFonts w:ascii="Times New Roman" w:eastAsia="宋体" w:hAnsi="Times New Roman" w:cs="Times New Roman"/>
          <w:kern w:val="0"/>
          <w:sz w:val="21"/>
          <w:szCs w:val="21"/>
        </w:rPr>
        <w:t>）</w:t>
      </w:r>
      <w:r>
        <w:rPr>
          <w:rFonts w:ascii="宋体" w:eastAsia="宋体" w:hAnsi="宋体" w:cs="Times New Roman" w:hint="eastAsia"/>
          <w:kern w:val="0"/>
          <w:sz w:val="21"/>
          <w:szCs w:val="21"/>
        </w:rPr>
        <w:t>。结果显示，</w:t>
      </w:r>
      <w:r>
        <w:rPr>
          <w:rFonts w:ascii="Times New Roman" w:eastAsia="宋体" w:hAnsi="Times New Roman" w:cs="Times New Roman" w:hint="eastAsia"/>
          <w:sz w:val="21"/>
          <w:szCs w:val="21"/>
        </w:rPr>
        <w:t>“繁简分流”改革</w:t>
      </w:r>
      <w:r>
        <w:rPr>
          <w:rFonts w:ascii="宋体" w:eastAsia="宋体" w:hAnsi="宋体" w:cs="Times New Roman" w:hint="eastAsia"/>
          <w:kern w:val="0"/>
          <w:sz w:val="21"/>
          <w:szCs w:val="21"/>
        </w:rPr>
        <w:t>对</w:t>
      </w:r>
      <w:r>
        <w:rPr>
          <w:rFonts w:ascii="Times New Roman" w:eastAsia="宋体" w:hAnsi="Times New Roman" w:cs="Times New Roman" w:hint="eastAsia"/>
          <w:sz w:val="21"/>
          <w:szCs w:val="21"/>
        </w:rPr>
        <w:t>上市公司异地合作申请发明专利数量</w:t>
      </w:r>
      <w:r>
        <w:rPr>
          <w:rFonts w:ascii="宋体" w:eastAsia="宋体" w:hAnsi="宋体" w:cs="Times New Roman" w:hint="eastAsia"/>
          <w:kern w:val="0"/>
          <w:sz w:val="21"/>
          <w:szCs w:val="21"/>
        </w:rPr>
        <w:t>的回归系数依旧在</w:t>
      </w:r>
      <w:r>
        <w:rPr>
          <w:rFonts w:ascii="宋体" w:eastAsia="宋体" w:hAnsi="宋体" w:cs="Times New Roman"/>
          <w:kern w:val="0"/>
          <w:sz w:val="21"/>
          <w:szCs w:val="21"/>
        </w:rPr>
        <w:t>1%</w:t>
      </w:r>
      <w:r>
        <w:rPr>
          <w:rFonts w:ascii="宋体" w:eastAsia="宋体" w:hAnsi="宋体" w:cs="Times New Roman" w:hint="eastAsia"/>
          <w:kern w:val="0"/>
          <w:sz w:val="21"/>
          <w:szCs w:val="21"/>
        </w:rPr>
        <w:t>水平上显著为正，说明改变被解释变量的衡量方式不影响基本结论的成立。</w:t>
      </w:r>
    </w:p>
    <w:p w14:paraId="7AFF1501" w14:textId="77777777" w:rsidR="001C2287" w:rsidRDefault="00000000">
      <w:pPr>
        <w:spacing w:after="0" w:line="400" w:lineRule="exact"/>
        <w:ind w:firstLineChars="200" w:firstLine="422"/>
        <w:jc w:val="both"/>
        <w:rPr>
          <w:rFonts w:ascii="Times New Roman" w:eastAsia="黑体" w:hAnsi="Times New Roman" w:cs="Times New Roman"/>
          <w:b/>
          <w:bCs/>
          <w:sz w:val="21"/>
          <w:szCs w:val="22"/>
          <w14:ligatures w14:val="none"/>
        </w:rPr>
      </w:pPr>
      <w:r>
        <w:rPr>
          <w:rFonts w:ascii="Times New Roman" w:eastAsia="黑体" w:hAnsi="Times New Roman" w:cs="Times New Roman" w:hint="eastAsia"/>
          <w:b/>
          <w:bCs/>
          <w:sz w:val="21"/>
          <w:szCs w:val="22"/>
          <w14:ligatures w14:val="none"/>
        </w:rPr>
        <w:t>9.</w:t>
      </w:r>
      <w:bookmarkStart w:id="10" w:name="_Hlk215155199"/>
      <w:r>
        <w:rPr>
          <w:rFonts w:ascii="Times New Roman" w:eastAsia="黑体" w:hAnsi="Times New Roman" w:cs="Times New Roman" w:hint="eastAsia"/>
          <w:b/>
          <w:bCs/>
          <w:sz w:val="21"/>
          <w:szCs w:val="22"/>
          <w14:ligatures w14:val="none"/>
        </w:rPr>
        <w:t>控制高铁开通的影响</w:t>
      </w:r>
    </w:p>
    <w:bookmarkEnd w:id="10"/>
    <w:p w14:paraId="26D5BDAD" w14:textId="77777777" w:rsidR="001C2287" w:rsidRDefault="00000000">
      <w:pPr>
        <w:spacing w:after="0" w:line="400" w:lineRule="exact"/>
        <w:ind w:firstLineChars="200" w:firstLine="420"/>
        <w:jc w:val="both"/>
        <w:rPr>
          <w:rFonts w:ascii="宋体" w:eastAsia="宋体" w:hAnsi="宋体" w:hint="eastAsia"/>
          <w:sz w:val="21"/>
          <w:szCs w:val="21"/>
        </w:rPr>
      </w:pPr>
      <w:r>
        <w:rPr>
          <w:rFonts w:ascii="宋体" w:eastAsia="宋体" w:hAnsi="宋体" w:hint="eastAsia"/>
          <w:sz w:val="21"/>
          <w:szCs w:val="21"/>
        </w:rPr>
        <w:t>已有研究表明，城市间高铁开通使异地企业之间交通变得更加便捷，从而推动企业间的</w:t>
      </w:r>
      <w:r>
        <w:rPr>
          <w:rFonts w:ascii="宋体" w:eastAsia="宋体" w:hAnsi="宋体" w:hint="eastAsia"/>
          <w:sz w:val="21"/>
          <w:szCs w:val="21"/>
        </w:rPr>
        <w:lastRenderedPageBreak/>
        <w:t>跨区域合作创新（王雨飞等，</w:t>
      </w:r>
      <w:r>
        <w:rPr>
          <w:rFonts w:ascii="Times New Roman" w:eastAsia="宋体" w:hAnsi="Times New Roman" w:cs="Times New Roman"/>
          <w:sz w:val="21"/>
          <w:szCs w:val="21"/>
        </w:rPr>
        <w:t>2024</w:t>
      </w:r>
      <w:r>
        <w:rPr>
          <w:rFonts w:ascii="宋体" w:eastAsia="宋体" w:hAnsi="宋体" w:hint="eastAsia"/>
          <w:sz w:val="21"/>
          <w:szCs w:val="21"/>
        </w:rPr>
        <w:t>）。为了控制城市开通高铁对</w:t>
      </w:r>
      <w:r>
        <w:rPr>
          <w:rFonts w:ascii="Times New Roman" w:eastAsia="宋体" w:hAnsi="Times New Roman" w:cs="Times New Roman" w:hint="eastAsia"/>
          <w:sz w:val="21"/>
          <w:szCs w:val="21"/>
        </w:rPr>
        <w:t>“繁简分流”改革</w:t>
      </w:r>
      <w:r>
        <w:rPr>
          <w:rFonts w:ascii="宋体" w:eastAsia="宋体" w:hAnsi="宋体" w:hint="eastAsia"/>
          <w:sz w:val="21"/>
          <w:szCs w:val="21"/>
        </w:rPr>
        <w:t>的替代效应，本文根据上市公司的合作城市是否开通高</w:t>
      </w:r>
      <w:proofErr w:type="gramStart"/>
      <w:r>
        <w:rPr>
          <w:rFonts w:ascii="宋体" w:eastAsia="宋体" w:hAnsi="宋体" w:hint="eastAsia"/>
          <w:sz w:val="21"/>
          <w:szCs w:val="21"/>
        </w:rPr>
        <w:t>铁设置</w:t>
      </w:r>
      <w:proofErr w:type="gramEnd"/>
      <w:r>
        <w:rPr>
          <w:rFonts w:ascii="宋体" w:eastAsia="宋体" w:hAnsi="宋体" w:hint="eastAsia"/>
          <w:sz w:val="21"/>
          <w:szCs w:val="21"/>
        </w:rPr>
        <w:t>了虚拟变量，并将虚拟变量放入模型（1）中重新进行回归，</w:t>
      </w:r>
      <w:r>
        <w:rPr>
          <w:rFonts w:ascii="Times New Roman" w:eastAsia="宋体" w:hAnsi="Times New Roman" w:cs="Times New Roman" w:hint="eastAsia"/>
          <w:sz w:val="21"/>
          <w:szCs w:val="21"/>
        </w:rPr>
        <w:t>回归结果见</w:t>
      </w:r>
      <w:r>
        <w:rPr>
          <w:rFonts w:ascii="宋体" w:eastAsia="宋体" w:hAnsi="宋体" w:cs="Times New Roman" w:hint="eastAsia"/>
          <w:kern w:val="0"/>
          <w:sz w:val="21"/>
          <w:szCs w:val="21"/>
        </w:rPr>
        <w:t>表</w:t>
      </w:r>
      <w:r>
        <w:rPr>
          <w:rFonts w:ascii="Times New Roman" w:eastAsia="宋体" w:hAnsi="Times New Roman" w:cs="Times New Roman"/>
          <w:kern w:val="0"/>
          <w:sz w:val="21"/>
          <w:szCs w:val="21"/>
        </w:rPr>
        <w:t>A2</w:t>
      </w:r>
      <w:r>
        <w:rPr>
          <w:rFonts w:ascii="Times New Roman" w:eastAsia="宋体" w:hAnsi="Times New Roman" w:cs="Times New Roman"/>
          <w:i/>
          <w:iCs/>
          <w:sz w:val="21"/>
          <w:szCs w:val="21"/>
        </w:rPr>
        <w:t>PanelB</w:t>
      </w:r>
      <w:r>
        <w:rPr>
          <w:rFonts w:ascii="Times New Roman" w:eastAsia="宋体" w:hAnsi="Times New Roman" w:cs="Times New Roman"/>
          <w:kern w:val="0"/>
          <w:sz w:val="21"/>
          <w:szCs w:val="21"/>
        </w:rPr>
        <w:t>列（</w:t>
      </w:r>
      <w:r>
        <w:rPr>
          <w:rFonts w:ascii="Times New Roman" w:eastAsia="宋体" w:hAnsi="Times New Roman" w:cs="Times New Roman" w:hint="eastAsia"/>
          <w:kern w:val="0"/>
          <w:sz w:val="21"/>
          <w:szCs w:val="21"/>
        </w:rPr>
        <w:t>3</w:t>
      </w:r>
      <w:r>
        <w:rPr>
          <w:rFonts w:ascii="Times New Roman" w:eastAsia="宋体" w:hAnsi="Times New Roman" w:cs="Times New Roman"/>
          <w:kern w:val="0"/>
          <w:sz w:val="21"/>
          <w:szCs w:val="21"/>
        </w:rPr>
        <w:t>）</w:t>
      </w:r>
      <w:r>
        <w:rPr>
          <w:rFonts w:ascii="Times New Roman" w:eastAsia="宋体" w:hAnsi="Times New Roman" w:cs="Times New Roman" w:hint="eastAsia"/>
          <w:kern w:val="0"/>
          <w:sz w:val="21"/>
          <w:szCs w:val="21"/>
        </w:rPr>
        <w:t>。</w:t>
      </w:r>
      <w:r>
        <w:rPr>
          <w:rFonts w:ascii="宋体" w:eastAsia="宋体" w:hAnsi="宋体" w:cs="Times New Roman" w:hint="eastAsia"/>
          <w:kern w:val="0"/>
          <w:sz w:val="21"/>
          <w:szCs w:val="21"/>
        </w:rPr>
        <w:t>结果表明，在控制了高铁开通的影响之后，</w:t>
      </w:r>
      <w:r>
        <w:rPr>
          <w:rFonts w:ascii="Times New Roman" w:eastAsia="宋体" w:hAnsi="Times New Roman" w:cs="Times New Roman" w:hint="eastAsia"/>
          <w:sz w:val="21"/>
          <w:szCs w:val="21"/>
        </w:rPr>
        <w:t>“繁简分流”改革的回归系数依旧显著为正，说明基准结果不受替代因素的影响。</w:t>
      </w:r>
    </w:p>
    <w:p w14:paraId="70DA687E" w14:textId="77777777" w:rsidR="001C2287" w:rsidRDefault="00000000">
      <w:pPr>
        <w:spacing w:after="0" w:line="400" w:lineRule="exact"/>
        <w:ind w:firstLineChars="200" w:firstLine="422"/>
        <w:jc w:val="both"/>
        <w:rPr>
          <w:rFonts w:ascii="Times New Roman" w:eastAsia="黑体" w:hAnsi="Times New Roman" w:cs="Times New Roman"/>
          <w:b/>
          <w:bCs/>
          <w:sz w:val="21"/>
          <w:szCs w:val="22"/>
          <w14:ligatures w14:val="none"/>
        </w:rPr>
      </w:pPr>
      <w:r>
        <w:rPr>
          <w:rFonts w:ascii="Times New Roman" w:eastAsia="黑体" w:hAnsi="Times New Roman" w:cs="Times New Roman" w:hint="eastAsia"/>
          <w:b/>
          <w:bCs/>
          <w:sz w:val="21"/>
          <w:szCs w:val="22"/>
          <w14:ligatures w14:val="none"/>
        </w:rPr>
        <w:t>10.</w:t>
      </w:r>
      <w:bookmarkStart w:id="11" w:name="_Hlk215155208"/>
      <w:r>
        <w:rPr>
          <w:rFonts w:ascii="Times New Roman" w:eastAsia="黑体" w:hAnsi="Times New Roman" w:cs="Times New Roman" w:hint="eastAsia"/>
          <w:b/>
          <w:bCs/>
          <w:sz w:val="21"/>
          <w:szCs w:val="22"/>
          <w14:ligatures w14:val="none"/>
        </w:rPr>
        <w:t>删除注册地发生变更的样本</w:t>
      </w:r>
      <w:bookmarkEnd w:id="11"/>
    </w:p>
    <w:p w14:paraId="05E79107" w14:textId="77777777" w:rsidR="001C2287" w:rsidRDefault="00000000">
      <w:pPr>
        <w:spacing w:after="0" w:line="400" w:lineRule="exact"/>
        <w:ind w:firstLineChars="200" w:firstLine="420"/>
        <w:jc w:val="both"/>
        <w:rPr>
          <w:rFonts w:ascii="Times New Roman" w:eastAsia="宋体" w:hAnsi="Times New Roman" w:cs="Times New Roman"/>
          <w:sz w:val="21"/>
          <w:szCs w:val="21"/>
        </w:rPr>
      </w:pPr>
      <w:r>
        <w:rPr>
          <w:rFonts w:ascii="宋体" w:eastAsia="宋体" w:hAnsi="宋体" w:hint="eastAsia"/>
          <w:sz w:val="21"/>
          <w:szCs w:val="21"/>
        </w:rPr>
        <w:t>为了避免因同一家上市公司地理位置信息变动对模型估计带来的潜在影响，本文在剔除了样本期间内注册地发生变更的上市公司后重新进行回归，</w:t>
      </w:r>
      <w:r>
        <w:rPr>
          <w:rFonts w:ascii="Times New Roman" w:eastAsia="宋体" w:hAnsi="Times New Roman" w:cs="Times New Roman" w:hint="eastAsia"/>
          <w:sz w:val="21"/>
          <w:szCs w:val="21"/>
        </w:rPr>
        <w:t>结果见</w:t>
      </w:r>
      <w:r>
        <w:rPr>
          <w:rFonts w:ascii="宋体" w:eastAsia="宋体" w:hAnsi="宋体" w:cs="Times New Roman" w:hint="eastAsia"/>
          <w:kern w:val="0"/>
          <w:sz w:val="21"/>
          <w:szCs w:val="21"/>
        </w:rPr>
        <w:t>表</w:t>
      </w:r>
      <w:r>
        <w:rPr>
          <w:rFonts w:ascii="Times New Roman" w:eastAsia="宋体" w:hAnsi="Times New Roman" w:cs="Times New Roman"/>
          <w:kern w:val="0"/>
          <w:sz w:val="21"/>
          <w:szCs w:val="21"/>
        </w:rPr>
        <w:t>A2</w:t>
      </w:r>
      <w:r>
        <w:rPr>
          <w:rFonts w:ascii="Times New Roman" w:eastAsia="宋体" w:hAnsi="Times New Roman" w:cs="Times New Roman"/>
          <w:i/>
          <w:iCs/>
          <w:sz w:val="21"/>
          <w:szCs w:val="21"/>
        </w:rPr>
        <w:t>PanelB</w:t>
      </w:r>
      <w:r>
        <w:rPr>
          <w:rFonts w:ascii="Times New Roman" w:eastAsia="宋体" w:hAnsi="Times New Roman" w:cs="Times New Roman"/>
          <w:kern w:val="0"/>
          <w:sz w:val="21"/>
          <w:szCs w:val="21"/>
        </w:rPr>
        <w:t>列（</w:t>
      </w:r>
      <w:r>
        <w:rPr>
          <w:rFonts w:ascii="Times New Roman" w:eastAsia="宋体" w:hAnsi="Times New Roman" w:cs="Times New Roman" w:hint="eastAsia"/>
          <w:kern w:val="0"/>
          <w:sz w:val="21"/>
          <w:szCs w:val="21"/>
        </w:rPr>
        <w:t>4</w:t>
      </w:r>
      <w:r>
        <w:rPr>
          <w:rFonts w:ascii="Times New Roman" w:eastAsia="宋体" w:hAnsi="Times New Roman" w:cs="Times New Roman"/>
          <w:kern w:val="0"/>
          <w:sz w:val="21"/>
          <w:szCs w:val="21"/>
        </w:rPr>
        <w:t>）</w:t>
      </w:r>
      <w:r>
        <w:rPr>
          <w:rFonts w:ascii="Times New Roman" w:eastAsia="宋体" w:hAnsi="Times New Roman" w:cs="Times New Roman" w:hint="eastAsia"/>
          <w:kern w:val="0"/>
          <w:sz w:val="21"/>
          <w:szCs w:val="21"/>
        </w:rPr>
        <w:t>。结果显示，</w:t>
      </w:r>
      <w:r>
        <w:rPr>
          <w:rFonts w:ascii="Times New Roman" w:eastAsia="宋体" w:hAnsi="Times New Roman" w:cs="Times New Roman" w:hint="eastAsia"/>
          <w:sz w:val="21"/>
          <w:szCs w:val="21"/>
        </w:rPr>
        <w:t>“繁简分流”改革的回归系数在</w:t>
      </w:r>
      <w:r>
        <w:rPr>
          <w:rFonts w:ascii="Times New Roman" w:eastAsia="宋体" w:hAnsi="Times New Roman" w:cs="Times New Roman"/>
          <w:sz w:val="21"/>
          <w:szCs w:val="21"/>
        </w:rPr>
        <w:t>1%</w:t>
      </w:r>
      <w:r>
        <w:rPr>
          <w:rFonts w:ascii="Times New Roman" w:eastAsia="宋体" w:hAnsi="Times New Roman" w:cs="Times New Roman" w:hint="eastAsia"/>
          <w:sz w:val="21"/>
          <w:szCs w:val="21"/>
        </w:rPr>
        <w:t>水平上显著为正，证明基准结果是稳健的。</w:t>
      </w:r>
    </w:p>
    <w:p w14:paraId="1FB378B6" w14:textId="77777777" w:rsidR="001C2287" w:rsidRDefault="00000000">
      <w:pPr>
        <w:spacing w:after="0" w:line="440" w:lineRule="exact"/>
        <w:ind w:firstLineChars="200" w:firstLine="422"/>
        <w:jc w:val="both"/>
        <w:rPr>
          <w:rFonts w:ascii="Times New Roman" w:eastAsia="黑体" w:hAnsi="Times New Roman" w:cstheme="majorBidi"/>
          <w:b/>
          <w:bCs/>
          <w:sz w:val="21"/>
          <w:szCs w:val="21"/>
          <w14:ligatures w14:val="none"/>
        </w:rPr>
      </w:pPr>
      <w:r>
        <w:rPr>
          <w:rFonts w:ascii="Times New Roman" w:eastAsia="黑体" w:hAnsi="Times New Roman" w:cstheme="majorBidi" w:hint="eastAsia"/>
          <w:b/>
          <w:bCs/>
          <w:sz w:val="21"/>
          <w:szCs w:val="21"/>
          <w14:ligatures w14:val="none"/>
        </w:rPr>
        <w:t>表</w:t>
      </w:r>
      <w:r>
        <w:rPr>
          <w:rFonts w:ascii="Times New Roman" w:eastAsia="黑体" w:hAnsi="Times New Roman" w:cstheme="majorBidi" w:hint="eastAsia"/>
          <w:b/>
          <w:bCs/>
          <w:sz w:val="21"/>
          <w:szCs w:val="21"/>
          <w14:ligatures w14:val="none"/>
        </w:rPr>
        <w:t xml:space="preserve">A2                          </w:t>
      </w:r>
      <w:r>
        <w:rPr>
          <w:rFonts w:ascii="Times New Roman" w:eastAsia="黑体" w:hAnsi="Times New Roman" w:cstheme="majorBidi" w:hint="eastAsia"/>
          <w:b/>
          <w:bCs/>
          <w:sz w:val="21"/>
          <w:szCs w:val="21"/>
          <w14:ligatures w14:val="none"/>
        </w:rPr>
        <w:t>稳健性检验结果</w:t>
      </w:r>
    </w:p>
    <w:tbl>
      <w:tblPr>
        <w:tblStyle w:val="a5"/>
        <w:tblW w:w="8945" w:type="dxa"/>
        <w:tblInd w:w="-161" w:type="dxa"/>
        <w:tblLook w:val="04A0" w:firstRow="1" w:lastRow="0" w:firstColumn="1" w:lastColumn="0" w:noHBand="0" w:noVBand="1"/>
      </w:tblPr>
      <w:tblGrid>
        <w:gridCol w:w="1857"/>
        <w:gridCol w:w="1701"/>
        <w:gridCol w:w="1701"/>
        <w:gridCol w:w="1701"/>
        <w:gridCol w:w="1985"/>
      </w:tblGrid>
      <w:tr w:rsidR="001C2287" w14:paraId="53D55DBE" w14:textId="77777777">
        <w:tc>
          <w:tcPr>
            <w:tcW w:w="8945" w:type="dxa"/>
            <w:gridSpan w:val="5"/>
            <w:tcBorders>
              <w:left w:val="nil"/>
              <w:bottom w:val="single" w:sz="4" w:space="0" w:color="auto"/>
              <w:right w:val="nil"/>
            </w:tcBorders>
            <w:vAlign w:val="center"/>
          </w:tcPr>
          <w:p w14:paraId="432A9650" w14:textId="77777777" w:rsidR="001C2287" w:rsidRDefault="00000000">
            <w:pPr>
              <w:spacing w:after="0" w:line="240" w:lineRule="auto"/>
              <w:jc w:val="both"/>
              <w:rPr>
                <w:rFonts w:ascii="Times New Roman" w:eastAsia="宋体" w:hAnsi="Times New Roman" w:cs="Times New Roman"/>
                <w:i/>
                <w:sz w:val="18"/>
                <w:szCs w:val="18"/>
              </w:rPr>
            </w:pPr>
            <w:proofErr w:type="spellStart"/>
            <w:r>
              <w:rPr>
                <w:rFonts w:ascii="Times New Roman" w:eastAsia="宋体" w:hAnsi="Times New Roman" w:cs="Times New Roman" w:hint="eastAsia"/>
                <w:i/>
                <w:sz w:val="18"/>
                <w:szCs w:val="18"/>
              </w:rPr>
              <w:t>PanelA</w:t>
            </w:r>
            <w:proofErr w:type="spellEnd"/>
          </w:p>
        </w:tc>
      </w:tr>
      <w:tr w:rsidR="001C2287" w14:paraId="1C3A74E7" w14:textId="77777777">
        <w:tc>
          <w:tcPr>
            <w:tcW w:w="1857" w:type="dxa"/>
            <w:vMerge w:val="restart"/>
            <w:tcBorders>
              <w:top w:val="single" w:sz="4" w:space="0" w:color="auto"/>
              <w:left w:val="nil"/>
              <w:bottom w:val="single" w:sz="4" w:space="0" w:color="auto"/>
            </w:tcBorders>
            <w:vAlign w:val="center"/>
          </w:tcPr>
          <w:p w14:paraId="3B7A2454" w14:textId="77777777" w:rsidR="001C2287" w:rsidRDefault="001C2287">
            <w:pPr>
              <w:spacing w:after="0" w:line="240" w:lineRule="auto"/>
              <w:jc w:val="center"/>
              <w:rPr>
                <w:rFonts w:ascii="Times New Roman" w:eastAsia="宋体" w:hAnsi="Times New Roman" w:cs="Times New Roman"/>
                <w:sz w:val="18"/>
                <w:szCs w:val="18"/>
              </w:rPr>
            </w:pPr>
          </w:p>
        </w:tc>
        <w:tc>
          <w:tcPr>
            <w:tcW w:w="1701" w:type="dxa"/>
            <w:tcBorders>
              <w:top w:val="single" w:sz="4" w:space="0" w:color="auto"/>
              <w:bottom w:val="single" w:sz="4" w:space="0" w:color="auto"/>
            </w:tcBorders>
            <w:vAlign w:val="center"/>
          </w:tcPr>
          <w:p w14:paraId="57D09058"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sz w:val="18"/>
                <w:szCs w:val="18"/>
              </w:rPr>
              <w:t>PSM+DID</w:t>
            </w:r>
          </w:p>
        </w:tc>
        <w:tc>
          <w:tcPr>
            <w:tcW w:w="1701" w:type="dxa"/>
            <w:tcBorders>
              <w:top w:val="single" w:sz="4" w:space="0" w:color="auto"/>
              <w:bottom w:val="single" w:sz="4" w:space="0" w:color="auto"/>
            </w:tcBorders>
            <w:vAlign w:val="center"/>
          </w:tcPr>
          <w:p w14:paraId="773E5409"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控制预期效应</w:t>
            </w:r>
          </w:p>
        </w:tc>
        <w:tc>
          <w:tcPr>
            <w:tcW w:w="1701" w:type="dxa"/>
            <w:tcBorders>
              <w:top w:val="single" w:sz="4" w:space="0" w:color="auto"/>
              <w:bottom w:val="single" w:sz="4" w:space="0" w:color="auto"/>
            </w:tcBorders>
            <w:vAlign w:val="center"/>
          </w:tcPr>
          <w:p w14:paraId="2D2AD5D5"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双重机器学习</w:t>
            </w:r>
          </w:p>
        </w:tc>
        <w:tc>
          <w:tcPr>
            <w:tcW w:w="1985" w:type="dxa"/>
            <w:tcBorders>
              <w:top w:val="single" w:sz="4" w:space="0" w:color="auto"/>
              <w:bottom w:val="single" w:sz="4" w:space="0" w:color="auto"/>
              <w:right w:val="nil"/>
            </w:tcBorders>
            <w:vAlign w:val="center"/>
          </w:tcPr>
          <w:p w14:paraId="5F5A09E5"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Heckman</w:t>
            </w:r>
            <w:r>
              <w:rPr>
                <w:rFonts w:ascii="Times New Roman" w:eastAsia="宋体" w:hAnsi="Times New Roman" w:cs="Times New Roman" w:hint="eastAsia"/>
                <w:sz w:val="18"/>
                <w:szCs w:val="18"/>
              </w:rPr>
              <w:t>两步法</w:t>
            </w:r>
          </w:p>
        </w:tc>
      </w:tr>
      <w:tr w:rsidR="001C2287" w14:paraId="3CFB4311" w14:textId="77777777">
        <w:tc>
          <w:tcPr>
            <w:tcW w:w="1857" w:type="dxa"/>
            <w:vMerge/>
            <w:tcBorders>
              <w:top w:val="single" w:sz="4" w:space="0" w:color="auto"/>
              <w:left w:val="nil"/>
              <w:bottom w:val="single" w:sz="4" w:space="0" w:color="auto"/>
            </w:tcBorders>
            <w:vAlign w:val="center"/>
          </w:tcPr>
          <w:p w14:paraId="09A38C2D" w14:textId="77777777" w:rsidR="001C2287" w:rsidRDefault="001C2287">
            <w:pPr>
              <w:spacing w:after="0" w:line="240" w:lineRule="auto"/>
              <w:jc w:val="both"/>
              <w:rPr>
                <w:rFonts w:ascii="Times New Roman" w:eastAsia="宋体" w:hAnsi="Times New Roman" w:cs="Times New Roman"/>
                <w:sz w:val="18"/>
                <w:szCs w:val="18"/>
              </w:rPr>
            </w:pPr>
          </w:p>
        </w:tc>
        <w:tc>
          <w:tcPr>
            <w:tcW w:w="1701" w:type="dxa"/>
            <w:tcBorders>
              <w:top w:val="single" w:sz="4" w:space="0" w:color="auto"/>
              <w:bottom w:val="single" w:sz="4" w:space="0" w:color="auto"/>
            </w:tcBorders>
            <w:vAlign w:val="center"/>
          </w:tcPr>
          <w:p w14:paraId="62454E0C"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w:t>
            </w:r>
          </w:p>
        </w:tc>
        <w:tc>
          <w:tcPr>
            <w:tcW w:w="1701" w:type="dxa"/>
            <w:tcBorders>
              <w:top w:val="single" w:sz="4" w:space="0" w:color="auto"/>
              <w:bottom w:val="single" w:sz="4" w:space="0" w:color="auto"/>
            </w:tcBorders>
            <w:vAlign w:val="center"/>
          </w:tcPr>
          <w:p w14:paraId="17D008F0"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w:t>
            </w:r>
          </w:p>
        </w:tc>
        <w:tc>
          <w:tcPr>
            <w:tcW w:w="1701" w:type="dxa"/>
            <w:tcBorders>
              <w:top w:val="single" w:sz="4" w:space="0" w:color="auto"/>
              <w:bottom w:val="single" w:sz="4" w:space="0" w:color="auto"/>
            </w:tcBorders>
            <w:vAlign w:val="center"/>
          </w:tcPr>
          <w:p w14:paraId="22F3AC37"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w:t>
            </w:r>
          </w:p>
        </w:tc>
        <w:tc>
          <w:tcPr>
            <w:tcW w:w="1985" w:type="dxa"/>
            <w:tcBorders>
              <w:top w:val="single" w:sz="4" w:space="0" w:color="auto"/>
              <w:bottom w:val="single" w:sz="4" w:space="0" w:color="auto"/>
              <w:right w:val="nil"/>
            </w:tcBorders>
            <w:vAlign w:val="center"/>
          </w:tcPr>
          <w:p w14:paraId="79228954"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w:t>
            </w:r>
          </w:p>
        </w:tc>
      </w:tr>
      <w:tr w:rsidR="001C2287" w14:paraId="625E67A4" w14:textId="77777777">
        <w:tc>
          <w:tcPr>
            <w:tcW w:w="1857" w:type="dxa"/>
            <w:tcBorders>
              <w:top w:val="single" w:sz="4" w:space="0" w:color="auto"/>
              <w:left w:val="nil"/>
              <w:bottom w:val="nil"/>
            </w:tcBorders>
            <w:vAlign w:val="center"/>
          </w:tcPr>
          <w:p w14:paraId="0E48BE38"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“繁简分流”改革</w:t>
            </w:r>
          </w:p>
        </w:tc>
        <w:tc>
          <w:tcPr>
            <w:tcW w:w="1701" w:type="dxa"/>
            <w:tcBorders>
              <w:top w:val="single" w:sz="4" w:space="0" w:color="auto"/>
              <w:bottom w:val="nil"/>
            </w:tcBorders>
            <w:vAlign w:val="center"/>
          </w:tcPr>
          <w:p w14:paraId="17B6120F"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15.6813</w:t>
            </w:r>
            <w:r>
              <w:rPr>
                <w:rFonts w:ascii="Times New Roman" w:eastAsia="宋体" w:hAnsi="Times New Roman" w:cs="Times New Roman" w:hint="eastAsia"/>
                <w:sz w:val="18"/>
                <w:szCs w:val="18"/>
                <w:vertAlign w:val="superscript"/>
              </w:rPr>
              <w:t>***</w:t>
            </w:r>
          </w:p>
          <w:p w14:paraId="3EDF8744"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4.39</w:t>
            </w:r>
            <w:r>
              <w:rPr>
                <w:rFonts w:ascii="Times New Roman" w:eastAsia="宋体" w:hAnsi="Times New Roman" w:cs="Times New Roman" w:hint="eastAsia"/>
                <w:sz w:val="18"/>
                <w:szCs w:val="18"/>
              </w:rPr>
              <w:t>）</w:t>
            </w:r>
          </w:p>
        </w:tc>
        <w:tc>
          <w:tcPr>
            <w:tcW w:w="1701" w:type="dxa"/>
            <w:tcBorders>
              <w:top w:val="single" w:sz="4" w:space="0" w:color="auto"/>
              <w:bottom w:val="nil"/>
            </w:tcBorders>
            <w:vAlign w:val="center"/>
          </w:tcPr>
          <w:p w14:paraId="20550FED" w14:textId="09C5F616" w:rsidR="001C2287" w:rsidRDefault="0039560A">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5.0139</w:t>
            </w:r>
            <w:r w:rsidR="00C068B9">
              <w:rPr>
                <w:rFonts w:ascii="Times New Roman" w:eastAsia="宋体" w:hAnsi="Times New Roman" w:cs="Times New Roman" w:hint="eastAsia"/>
                <w:sz w:val="18"/>
                <w:szCs w:val="18"/>
                <w:vertAlign w:val="superscript"/>
              </w:rPr>
              <w:t>***</w:t>
            </w:r>
          </w:p>
          <w:p w14:paraId="7A50B0DD" w14:textId="53A54C91"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8.</w:t>
            </w:r>
            <w:r w:rsidR="0039560A">
              <w:rPr>
                <w:rFonts w:ascii="Times New Roman" w:eastAsia="宋体" w:hAnsi="Times New Roman" w:cs="Times New Roman" w:hint="eastAsia"/>
                <w:sz w:val="18"/>
                <w:szCs w:val="18"/>
              </w:rPr>
              <w:t>60</w:t>
            </w:r>
            <w:r>
              <w:rPr>
                <w:rFonts w:ascii="Times New Roman" w:eastAsia="宋体" w:hAnsi="Times New Roman" w:cs="Times New Roman" w:hint="eastAsia"/>
                <w:sz w:val="18"/>
                <w:szCs w:val="18"/>
              </w:rPr>
              <w:t>）</w:t>
            </w:r>
          </w:p>
        </w:tc>
        <w:tc>
          <w:tcPr>
            <w:tcW w:w="1701" w:type="dxa"/>
            <w:tcBorders>
              <w:top w:val="single" w:sz="4" w:space="0" w:color="auto"/>
              <w:bottom w:val="nil"/>
            </w:tcBorders>
            <w:vAlign w:val="center"/>
          </w:tcPr>
          <w:p w14:paraId="049E1037"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17.4309</w:t>
            </w:r>
            <w:r>
              <w:rPr>
                <w:rFonts w:ascii="Times New Roman" w:eastAsia="宋体" w:hAnsi="Times New Roman" w:cs="Times New Roman" w:hint="eastAsia"/>
                <w:sz w:val="18"/>
                <w:szCs w:val="18"/>
                <w:vertAlign w:val="superscript"/>
              </w:rPr>
              <w:t>***</w:t>
            </w:r>
          </w:p>
          <w:p w14:paraId="3EE0C042"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14.63</w:t>
            </w:r>
            <w:r>
              <w:rPr>
                <w:rFonts w:ascii="Times New Roman" w:eastAsia="宋体" w:hAnsi="Times New Roman" w:cs="Times New Roman" w:hint="eastAsia"/>
                <w:sz w:val="18"/>
                <w:szCs w:val="18"/>
              </w:rPr>
              <w:t>）</w:t>
            </w:r>
          </w:p>
        </w:tc>
        <w:tc>
          <w:tcPr>
            <w:tcW w:w="1985" w:type="dxa"/>
            <w:tcBorders>
              <w:top w:val="single" w:sz="4" w:space="0" w:color="auto"/>
              <w:bottom w:val="nil"/>
              <w:right w:val="nil"/>
            </w:tcBorders>
            <w:vAlign w:val="center"/>
          </w:tcPr>
          <w:p w14:paraId="4F3C793F"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4.8479</w:t>
            </w:r>
            <w:r>
              <w:rPr>
                <w:rFonts w:ascii="Times New Roman" w:eastAsia="宋体" w:hAnsi="Times New Roman" w:cs="Times New Roman" w:hint="eastAsia"/>
                <w:sz w:val="18"/>
                <w:szCs w:val="18"/>
                <w:vertAlign w:val="superscript"/>
              </w:rPr>
              <w:t>***</w:t>
            </w:r>
          </w:p>
          <w:p w14:paraId="5E04347C"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9.11</w:t>
            </w:r>
            <w:r>
              <w:rPr>
                <w:rFonts w:ascii="Times New Roman" w:eastAsia="宋体" w:hAnsi="Times New Roman" w:cs="Times New Roman" w:hint="eastAsia"/>
                <w:sz w:val="18"/>
                <w:szCs w:val="18"/>
              </w:rPr>
              <w:t>）</w:t>
            </w:r>
          </w:p>
        </w:tc>
      </w:tr>
      <w:tr w:rsidR="001C2287" w14:paraId="0BC47B34" w14:textId="77777777">
        <w:tc>
          <w:tcPr>
            <w:tcW w:w="1857" w:type="dxa"/>
            <w:tcBorders>
              <w:top w:val="nil"/>
              <w:left w:val="nil"/>
              <w:bottom w:val="nil"/>
            </w:tcBorders>
            <w:vAlign w:val="center"/>
          </w:tcPr>
          <w:p w14:paraId="5ABADC50"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控制变量</w:t>
            </w:r>
          </w:p>
        </w:tc>
        <w:tc>
          <w:tcPr>
            <w:tcW w:w="1701" w:type="dxa"/>
            <w:tcBorders>
              <w:top w:val="nil"/>
              <w:bottom w:val="nil"/>
            </w:tcBorders>
            <w:vAlign w:val="center"/>
          </w:tcPr>
          <w:p w14:paraId="4DA2CBD1"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是</w:t>
            </w:r>
          </w:p>
        </w:tc>
        <w:tc>
          <w:tcPr>
            <w:tcW w:w="1701" w:type="dxa"/>
            <w:tcBorders>
              <w:top w:val="nil"/>
              <w:bottom w:val="nil"/>
            </w:tcBorders>
            <w:vAlign w:val="center"/>
          </w:tcPr>
          <w:p w14:paraId="7971FA32"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是</w:t>
            </w:r>
          </w:p>
        </w:tc>
        <w:tc>
          <w:tcPr>
            <w:tcW w:w="1701" w:type="dxa"/>
            <w:tcBorders>
              <w:top w:val="nil"/>
              <w:bottom w:val="nil"/>
            </w:tcBorders>
            <w:vAlign w:val="center"/>
          </w:tcPr>
          <w:p w14:paraId="2498583C"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是</w:t>
            </w:r>
          </w:p>
        </w:tc>
        <w:tc>
          <w:tcPr>
            <w:tcW w:w="1985" w:type="dxa"/>
            <w:tcBorders>
              <w:top w:val="nil"/>
              <w:bottom w:val="nil"/>
              <w:right w:val="nil"/>
            </w:tcBorders>
            <w:vAlign w:val="center"/>
          </w:tcPr>
          <w:p w14:paraId="037DCA3F"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是</w:t>
            </w:r>
          </w:p>
        </w:tc>
      </w:tr>
      <w:tr w:rsidR="001C2287" w14:paraId="466CE050" w14:textId="77777777">
        <w:tc>
          <w:tcPr>
            <w:tcW w:w="1857" w:type="dxa"/>
            <w:tcBorders>
              <w:top w:val="nil"/>
              <w:left w:val="nil"/>
              <w:bottom w:val="single" w:sz="4" w:space="0" w:color="000000"/>
            </w:tcBorders>
            <w:vAlign w:val="center"/>
          </w:tcPr>
          <w:p w14:paraId="0BB722BB"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固定效应</w:t>
            </w:r>
          </w:p>
        </w:tc>
        <w:tc>
          <w:tcPr>
            <w:tcW w:w="1701" w:type="dxa"/>
            <w:tcBorders>
              <w:top w:val="nil"/>
              <w:bottom w:val="single" w:sz="4" w:space="0" w:color="000000"/>
            </w:tcBorders>
            <w:vAlign w:val="center"/>
          </w:tcPr>
          <w:p w14:paraId="0BBC1330"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是</w:t>
            </w:r>
          </w:p>
        </w:tc>
        <w:tc>
          <w:tcPr>
            <w:tcW w:w="1701" w:type="dxa"/>
            <w:tcBorders>
              <w:top w:val="nil"/>
              <w:bottom w:val="single" w:sz="4" w:space="0" w:color="000000"/>
            </w:tcBorders>
            <w:vAlign w:val="center"/>
          </w:tcPr>
          <w:p w14:paraId="4938D534"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是</w:t>
            </w:r>
          </w:p>
        </w:tc>
        <w:tc>
          <w:tcPr>
            <w:tcW w:w="1701" w:type="dxa"/>
            <w:tcBorders>
              <w:top w:val="nil"/>
              <w:bottom w:val="single" w:sz="4" w:space="0" w:color="000000"/>
            </w:tcBorders>
            <w:vAlign w:val="center"/>
          </w:tcPr>
          <w:p w14:paraId="245811A5"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是</w:t>
            </w:r>
          </w:p>
        </w:tc>
        <w:tc>
          <w:tcPr>
            <w:tcW w:w="1985" w:type="dxa"/>
            <w:tcBorders>
              <w:top w:val="nil"/>
              <w:bottom w:val="single" w:sz="4" w:space="0" w:color="000000"/>
              <w:right w:val="nil"/>
            </w:tcBorders>
            <w:vAlign w:val="center"/>
          </w:tcPr>
          <w:p w14:paraId="61A9B40A"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是</w:t>
            </w:r>
          </w:p>
        </w:tc>
      </w:tr>
      <w:tr w:rsidR="001C2287" w14:paraId="413B2AA5" w14:textId="77777777">
        <w:tc>
          <w:tcPr>
            <w:tcW w:w="1857" w:type="dxa"/>
            <w:tcBorders>
              <w:top w:val="single" w:sz="4" w:space="0" w:color="000000"/>
              <w:left w:val="nil"/>
              <w:bottom w:val="nil"/>
            </w:tcBorders>
            <w:vAlign w:val="center"/>
          </w:tcPr>
          <w:p w14:paraId="59E6407E"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样本量</w:t>
            </w:r>
          </w:p>
        </w:tc>
        <w:tc>
          <w:tcPr>
            <w:tcW w:w="1701" w:type="dxa"/>
            <w:tcBorders>
              <w:top w:val="single" w:sz="4" w:space="0" w:color="000000"/>
              <w:bottom w:val="nil"/>
            </w:tcBorders>
            <w:vAlign w:val="center"/>
          </w:tcPr>
          <w:p w14:paraId="7144FD09"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402 618</w:t>
            </w:r>
          </w:p>
        </w:tc>
        <w:tc>
          <w:tcPr>
            <w:tcW w:w="1701" w:type="dxa"/>
            <w:tcBorders>
              <w:top w:val="single" w:sz="4" w:space="0" w:color="000000"/>
              <w:bottom w:val="nil"/>
            </w:tcBorders>
            <w:vAlign w:val="center"/>
          </w:tcPr>
          <w:p w14:paraId="7EAC253F"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7 857 696</w:t>
            </w:r>
          </w:p>
        </w:tc>
        <w:tc>
          <w:tcPr>
            <w:tcW w:w="1701" w:type="dxa"/>
            <w:tcBorders>
              <w:top w:val="single" w:sz="4" w:space="0" w:color="000000"/>
              <w:bottom w:val="nil"/>
            </w:tcBorders>
            <w:vAlign w:val="center"/>
          </w:tcPr>
          <w:p w14:paraId="2D1DE024"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7 857 696</w:t>
            </w:r>
          </w:p>
        </w:tc>
        <w:tc>
          <w:tcPr>
            <w:tcW w:w="1985" w:type="dxa"/>
            <w:tcBorders>
              <w:top w:val="single" w:sz="4" w:space="0" w:color="000000"/>
              <w:bottom w:val="nil"/>
              <w:right w:val="nil"/>
            </w:tcBorders>
            <w:vAlign w:val="center"/>
          </w:tcPr>
          <w:p w14:paraId="6E2CA176"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7 857 696</w:t>
            </w:r>
          </w:p>
        </w:tc>
      </w:tr>
      <w:tr w:rsidR="001C2287" w14:paraId="3938B325" w14:textId="77777777">
        <w:tc>
          <w:tcPr>
            <w:tcW w:w="1857" w:type="dxa"/>
            <w:tcBorders>
              <w:top w:val="nil"/>
              <w:left w:val="nil"/>
            </w:tcBorders>
            <w:vAlign w:val="center"/>
          </w:tcPr>
          <w:p w14:paraId="15DFE2AC" w14:textId="77777777" w:rsidR="001C2287" w:rsidRDefault="00000000">
            <w:pPr>
              <w:spacing w:after="0" w:line="240" w:lineRule="auto"/>
              <w:jc w:val="center"/>
              <w:rPr>
                <w:rFonts w:ascii="Times New Roman" w:eastAsia="宋体" w:hAnsi="Times New Roman" w:cs="Times New Roman"/>
                <w:i/>
                <w:sz w:val="18"/>
                <w:szCs w:val="18"/>
              </w:rPr>
            </w:pPr>
            <w:r>
              <w:rPr>
                <w:rFonts w:ascii="Times New Roman" w:eastAsia="宋体" w:hAnsi="Times New Roman" w:cs="Times New Roman" w:hint="eastAsia"/>
                <w:i/>
                <w:sz w:val="18"/>
                <w:szCs w:val="18"/>
              </w:rPr>
              <w:t>Adj R</w:t>
            </w:r>
            <w:r>
              <w:rPr>
                <w:rFonts w:ascii="Times New Roman" w:eastAsia="宋体" w:hAnsi="Times New Roman" w:cs="Times New Roman" w:hint="eastAsia"/>
                <w:i/>
                <w:sz w:val="18"/>
                <w:szCs w:val="18"/>
                <w:vertAlign w:val="superscript"/>
              </w:rPr>
              <w:t>2</w:t>
            </w:r>
          </w:p>
        </w:tc>
        <w:tc>
          <w:tcPr>
            <w:tcW w:w="1701" w:type="dxa"/>
            <w:tcBorders>
              <w:top w:val="nil"/>
            </w:tcBorders>
            <w:vAlign w:val="center"/>
          </w:tcPr>
          <w:p w14:paraId="49079515"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0.1706</w:t>
            </w:r>
          </w:p>
        </w:tc>
        <w:tc>
          <w:tcPr>
            <w:tcW w:w="1701" w:type="dxa"/>
            <w:tcBorders>
              <w:top w:val="nil"/>
            </w:tcBorders>
            <w:vAlign w:val="center"/>
          </w:tcPr>
          <w:p w14:paraId="42EF3419"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0.0523</w:t>
            </w:r>
          </w:p>
        </w:tc>
        <w:tc>
          <w:tcPr>
            <w:tcW w:w="1701" w:type="dxa"/>
            <w:tcBorders>
              <w:top w:val="nil"/>
            </w:tcBorders>
            <w:vAlign w:val="center"/>
          </w:tcPr>
          <w:p w14:paraId="6DAE8B61"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p>
        </w:tc>
        <w:tc>
          <w:tcPr>
            <w:tcW w:w="1985" w:type="dxa"/>
            <w:tcBorders>
              <w:top w:val="nil"/>
              <w:right w:val="nil"/>
            </w:tcBorders>
            <w:vAlign w:val="center"/>
          </w:tcPr>
          <w:p w14:paraId="5C260272"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0.0523</w:t>
            </w:r>
          </w:p>
        </w:tc>
      </w:tr>
      <w:tr w:rsidR="001C2287" w14:paraId="0114077B" w14:textId="77777777">
        <w:tc>
          <w:tcPr>
            <w:tcW w:w="8945" w:type="dxa"/>
            <w:gridSpan w:val="5"/>
            <w:tcBorders>
              <w:left w:val="nil"/>
              <w:right w:val="nil"/>
            </w:tcBorders>
            <w:vAlign w:val="center"/>
          </w:tcPr>
          <w:p w14:paraId="4F3D6337" w14:textId="77777777" w:rsidR="001C2287" w:rsidRDefault="00000000">
            <w:pPr>
              <w:spacing w:after="0" w:line="240" w:lineRule="auto"/>
              <w:rPr>
                <w:rFonts w:ascii="Times New Roman" w:eastAsia="宋体" w:hAnsi="Times New Roman" w:cs="Times New Roman"/>
                <w:sz w:val="18"/>
                <w:szCs w:val="18"/>
              </w:rPr>
            </w:pPr>
            <w:proofErr w:type="spellStart"/>
            <w:r>
              <w:rPr>
                <w:rFonts w:ascii="Times New Roman" w:eastAsia="宋体" w:hAnsi="Times New Roman" w:cs="Times New Roman" w:hint="eastAsia"/>
                <w:i/>
                <w:sz w:val="18"/>
                <w:szCs w:val="18"/>
              </w:rPr>
              <w:t>PanelB</w:t>
            </w:r>
            <w:proofErr w:type="spellEnd"/>
          </w:p>
        </w:tc>
      </w:tr>
      <w:tr w:rsidR="001C2287" w14:paraId="6D7684EF" w14:textId="77777777">
        <w:tc>
          <w:tcPr>
            <w:tcW w:w="1857" w:type="dxa"/>
            <w:vMerge w:val="restart"/>
            <w:tcBorders>
              <w:left w:val="nil"/>
            </w:tcBorders>
            <w:vAlign w:val="center"/>
          </w:tcPr>
          <w:p w14:paraId="786FACA2" w14:textId="77777777" w:rsidR="001C2287" w:rsidRDefault="001C2287">
            <w:pPr>
              <w:spacing w:after="0" w:line="240" w:lineRule="auto"/>
              <w:jc w:val="center"/>
              <w:rPr>
                <w:rFonts w:ascii="Times New Roman" w:eastAsia="宋体" w:hAnsi="Times New Roman" w:cs="Times New Roman"/>
                <w:sz w:val="18"/>
                <w:szCs w:val="18"/>
              </w:rPr>
            </w:pPr>
          </w:p>
        </w:tc>
        <w:tc>
          <w:tcPr>
            <w:tcW w:w="1701" w:type="dxa"/>
            <w:vAlign w:val="center"/>
          </w:tcPr>
          <w:p w14:paraId="6F3EB078"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被解释变量提前</w:t>
            </w:r>
          </w:p>
        </w:tc>
        <w:tc>
          <w:tcPr>
            <w:tcW w:w="1701" w:type="dxa"/>
            <w:vAlign w:val="center"/>
          </w:tcPr>
          <w:p w14:paraId="5304ED72"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替换被解释变量</w:t>
            </w:r>
          </w:p>
        </w:tc>
        <w:tc>
          <w:tcPr>
            <w:tcW w:w="1701" w:type="dxa"/>
            <w:vAlign w:val="center"/>
          </w:tcPr>
          <w:p w14:paraId="7F160002"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控制高铁开通</w:t>
            </w:r>
          </w:p>
        </w:tc>
        <w:tc>
          <w:tcPr>
            <w:tcW w:w="1985" w:type="dxa"/>
            <w:tcBorders>
              <w:right w:val="nil"/>
            </w:tcBorders>
            <w:vAlign w:val="center"/>
          </w:tcPr>
          <w:p w14:paraId="0A0B4584"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删除注册地变更</w:t>
            </w:r>
          </w:p>
        </w:tc>
      </w:tr>
      <w:tr w:rsidR="001C2287" w14:paraId="48190E7C" w14:textId="77777777">
        <w:tc>
          <w:tcPr>
            <w:tcW w:w="1857" w:type="dxa"/>
            <w:vMerge/>
            <w:tcBorders>
              <w:left w:val="nil"/>
              <w:bottom w:val="single" w:sz="4" w:space="0" w:color="000000"/>
            </w:tcBorders>
            <w:vAlign w:val="center"/>
          </w:tcPr>
          <w:p w14:paraId="76D6B690" w14:textId="77777777" w:rsidR="001C2287" w:rsidRDefault="001C2287">
            <w:pPr>
              <w:spacing w:after="0" w:line="240" w:lineRule="auto"/>
              <w:jc w:val="center"/>
              <w:rPr>
                <w:rFonts w:ascii="Times New Roman" w:eastAsia="宋体" w:hAnsi="Times New Roman" w:cs="Times New Roman"/>
                <w:sz w:val="18"/>
                <w:szCs w:val="18"/>
              </w:rPr>
            </w:pPr>
          </w:p>
        </w:tc>
        <w:tc>
          <w:tcPr>
            <w:tcW w:w="1701" w:type="dxa"/>
            <w:tcBorders>
              <w:bottom w:val="single" w:sz="4" w:space="0" w:color="000000"/>
            </w:tcBorders>
            <w:vAlign w:val="center"/>
          </w:tcPr>
          <w:p w14:paraId="2626A854"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w:t>
            </w:r>
            <w:r>
              <w:rPr>
                <w:rFonts w:ascii="Times New Roman" w:eastAsia="宋体" w:hAnsi="Times New Roman" w:cs="Times New Roman" w:hint="eastAsia"/>
                <w:sz w:val="18"/>
                <w:szCs w:val="18"/>
              </w:rPr>
              <w:t>）</w:t>
            </w:r>
          </w:p>
        </w:tc>
        <w:tc>
          <w:tcPr>
            <w:tcW w:w="1701" w:type="dxa"/>
            <w:tcBorders>
              <w:bottom w:val="single" w:sz="4" w:space="0" w:color="000000"/>
            </w:tcBorders>
            <w:vAlign w:val="center"/>
          </w:tcPr>
          <w:p w14:paraId="3414554A"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w:t>
            </w:r>
          </w:p>
        </w:tc>
        <w:tc>
          <w:tcPr>
            <w:tcW w:w="1701" w:type="dxa"/>
            <w:tcBorders>
              <w:bottom w:val="single" w:sz="4" w:space="0" w:color="000000"/>
            </w:tcBorders>
            <w:vAlign w:val="center"/>
          </w:tcPr>
          <w:p w14:paraId="0B18C942"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3</w:t>
            </w:r>
            <w:r>
              <w:rPr>
                <w:rFonts w:ascii="Times New Roman" w:eastAsia="宋体" w:hAnsi="Times New Roman" w:cs="Times New Roman" w:hint="eastAsia"/>
                <w:sz w:val="18"/>
                <w:szCs w:val="18"/>
              </w:rPr>
              <w:t>）</w:t>
            </w:r>
          </w:p>
        </w:tc>
        <w:tc>
          <w:tcPr>
            <w:tcW w:w="1985" w:type="dxa"/>
            <w:tcBorders>
              <w:bottom w:val="single" w:sz="4" w:space="0" w:color="000000"/>
              <w:right w:val="nil"/>
            </w:tcBorders>
            <w:vAlign w:val="center"/>
          </w:tcPr>
          <w:p w14:paraId="50EDA67E"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4</w:t>
            </w:r>
            <w:r>
              <w:rPr>
                <w:rFonts w:ascii="Times New Roman" w:eastAsia="宋体" w:hAnsi="Times New Roman" w:cs="Times New Roman" w:hint="eastAsia"/>
                <w:sz w:val="18"/>
                <w:szCs w:val="18"/>
              </w:rPr>
              <w:t>）</w:t>
            </w:r>
          </w:p>
        </w:tc>
      </w:tr>
      <w:tr w:rsidR="001C2287" w14:paraId="1DEABF77" w14:textId="77777777">
        <w:tc>
          <w:tcPr>
            <w:tcW w:w="1857" w:type="dxa"/>
            <w:tcBorders>
              <w:top w:val="single" w:sz="4" w:space="0" w:color="000000"/>
              <w:left w:val="nil"/>
              <w:bottom w:val="nil"/>
              <w:right w:val="single" w:sz="4" w:space="0" w:color="000000"/>
            </w:tcBorders>
            <w:vAlign w:val="center"/>
          </w:tcPr>
          <w:p w14:paraId="044D754E"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“繁简分流”改革</w:t>
            </w:r>
          </w:p>
        </w:tc>
        <w:tc>
          <w:tcPr>
            <w:tcW w:w="1701" w:type="dxa"/>
            <w:tcBorders>
              <w:top w:val="single" w:sz="4" w:space="0" w:color="000000"/>
              <w:left w:val="single" w:sz="4" w:space="0" w:color="000000"/>
              <w:bottom w:val="nil"/>
              <w:right w:val="single" w:sz="4" w:space="0" w:color="000000"/>
            </w:tcBorders>
            <w:vAlign w:val="center"/>
          </w:tcPr>
          <w:p w14:paraId="2A99E50A"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6.2429</w:t>
            </w:r>
            <w:r>
              <w:rPr>
                <w:rFonts w:ascii="Times New Roman" w:eastAsia="宋体" w:hAnsi="Times New Roman" w:cs="Times New Roman" w:hint="eastAsia"/>
                <w:sz w:val="18"/>
                <w:szCs w:val="18"/>
                <w:vertAlign w:val="superscript"/>
              </w:rPr>
              <w:t>***</w:t>
            </w:r>
          </w:p>
          <w:p w14:paraId="6CF470D8"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11.50</w:t>
            </w:r>
            <w:r>
              <w:rPr>
                <w:rFonts w:ascii="Times New Roman" w:eastAsia="宋体" w:hAnsi="Times New Roman" w:cs="Times New Roman" w:hint="eastAsia"/>
                <w:sz w:val="18"/>
                <w:szCs w:val="18"/>
              </w:rPr>
              <w:t>）</w:t>
            </w:r>
          </w:p>
        </w:tc>
        <w:tc>
          <w:tcPr>
            <w:tcW w:w="1701" w:type="dxa"/>
            <w:tcBorders>
              <w:top w:val="single" w:sz="4" w:space="0" w:color="000000"/>
              <w:left w:val="single" w:sz="4" w:space="0" w:color="000000"/>
              <w:bottom w:val="nil"/>
              <w:right w:val="single" w:sz="4" w:space="0" w:color="000000"/>
            </w:tcBorders>
            <w:vAlign w:val="center"/>
          </w:tcPr>
          <w:p w14:paraId="789A01DB"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4.3259</w:t>
            </w:r>
            <w:r>
              <w:rPr>
                <w:rFonts w:ascii="Times New Roman" w:eastAsia="宋体" w:hAnsi="Times New Roman" w:cs="Times New Roman" w:hint="eastAsia"/>
                <w:sz w:val="18"/>
                <w:szCs w:val="18"/>
                <w:vertAlign w:val="superscript"/>
              </w:rPr>
              <w:t>***</w:t>
            </w:r>
          </w:p>
          <w:p w14:paraId="47462445"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9.03</w:t>
            </w:r>
            <w:r>
              <w:rPr>
                <w:rFonts w:ascii="Times New Roman" w:eastAsia="宋体" w:hAnsi="Times New Roman" w:cs="Times New Roman" w:hint="eastAsia"/>
                <w:sz w:val="18"/>
                <w:szCs w:val="18"/>
              </w:rPr>
              <w:t>）</w:t>
            </w:r>
          </w:p>
        </w:tc>
        <w:tc>
          <w:tcPr>
            <w:tcW w:w="1701" w:type="dxa"/>
            <w:tcBorders>
              <w:top w:val="single" w:sz="4" w:space="0" w:color="000000"/>
              <w:left w:val="single" w:sz="4" w:space="0" w:color="000000"/>
              <w:bottom w:val="nil"/>
              <w:right w:val="single" w:sz="4" w:space="0" w:color="000000"/>
            </w:tcBorders>
            <w:vAlign w:val="center"/>
          </w:tcPr>
          <w:p w14:paraId="68EA52B1"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4.8306</w:t>
            </w:r>
            <w:r>
              <w:rPr>
                <w:rFonts w:ascii="Times New Roman" w:eastAsia="宋体" w:hAnsi="Times New Roman" w:cs="Times New Roman" w:hint="eastAsia"/>
                <w:sz w:val="18"/>
                <w:szCs w:val="18"/>
                <w:vertAlign w:val="superscript"/>
              </w:rPr>
              <w:t>***</w:t>
            </w:r>
          </w:p>
          <w:p w14:paraId="00733229"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9.09</w:t>
            </w:r>
            <w:r>
              <w:rPr>
                <w:rFonts w:ascii="Times New Roman" w:eastAsia="宋体" w:hAnsi="Times New Roman" w:cs="Times New Roman" w:hint="eastAsia"/>
                <w:sz w:val="18"/>
                <w:szCs w:val="18"/>
              </w:rPr>
              <w:t>）</w:t>
            </w:r>
          </w:p>
        </w:tc>
        <w:tc>
          <w:tcPr>
            <w:tcW w:w="1985" w:type="dxa"/>
            <w:tcBorders>
              <w:top w:val="single" w:sz="4" w:space="0" w:color="000000"/>
              <w:left w:val="single" w:sz="4" w:space="0" w:color="000000"/>
              <w:bottom w:val="nil"/>
              <w:right w:val="nil"/>
            </w:tcBorders>
            <w:vAlign w:val="center"/>
          </w:tcPr>
          <w:p w14:paraId="5E580AE9"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4.9384</w:t>
            </w:r>
            <w:r>
              <w:rPr>
                <w:rFonts w:ascii="Times New Roman" w:eastAsia="宋体" w:hAnsi="Times New Roman" w:cs="Times New Roman" w:hint="eastAsia"/>
                <w:sz w:val="18"/>
                <w:szCs w:val="18"/>
                <w:vertAlign w:val="superscript"/>
              </w:rPr>
              <w:t>***</w:t>
            </w:r>
          </w:p>
          <w:p w14:paraId="72A77970"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hint="eastAsia"/>
                <w:sz w:val="18"/>
                <w:szCs w:val="18"/>
              </w:rPr>
              <w:t>8.89</w:t>
            </w:r>
            <w:r>
              <w:rPr>
                <w:rFonts w:ascii="Times New Roman" w:eastAsia="宋体" w:hAnsi="Times New Roman" w:cs="Times New Roman" w:hint="eastAsia"/>
                <w:sz w:val="18"/>
                <w:szCs w:val="18"/>
              </w:rPr>
              <w:t>）</w:t>
            </w:r>
          </w:p>
        </w:tc>
      </w:tr>
      <w:tr w:rsidR="001C2287" w14:paraId="423096C1" w14:textId="77777777">
        <w:tc>
          <w:tcPr>
            <w:tcW w:w="1857" w:type="dxa"/>
            <w:tcBorders>
              <w:top w:val="nil"/>
              <w:left w:val="nil"/>
              <w:bottom w:val="nil"/>
              <w:right w:val="single" w:sz="4" w:space="0" w:color="000000"/>
            </w:tcBorders>
            <w:vAlign w:val="center"/>
          </w:tcPr>
          <w:p w14:paraId="51C002C9"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控制变量</w:t>
            </w:r>
          </w:p>
        </w:tc>
        <w:tc>
          <w:tcPr>
            <w:tcW w:w="1701" w:type="dxa"/>
            <w:tcBorders>
              <w:top w:val="nil"/>
              <w:left w:val="single" w:sz="4" w:space="0" w:color="000000"/>
              <w:bottom w:val="nil"/>
              <w:right w:val="single" w:sz="4" w:space="0" w:color="000000"/>
            </w:tcBorders>
            <w:vAlign w:val="center"/>
          </w:tcPr>
          <w:p w14:paraId="4E37A898"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是</w:t>
            </w:r>
          </w:p>
        </w:tc>
        <w:tc>
          <w:tcPr>
            <w:tcW w:w="1701" w:type="dxa"/>
            <w:tcBorders>
              <w:top w:val="nil"/>
              <w:left w:val="single" w:sz="4" w:space="0" w:color="000000"/>
              <w:bottom w:val="nil"/>
              <w:right w:val="single" w:sz="4" w:space="0" w:color="000000"/>
            </w:tcBorders>
            <w:vAlign w:val="center"/>
          </w:tcPr>
          <w:p w14:paraId="484BA550"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是</w:t>
            </w:r>
          </w:p>
        </w:tc>
        <w:tc>
          <w:tcPr>
            <w:tcW w:w="1701" w:type="dxa"/>
            <w:tcBorders>
              <w:top w:val="nil"/>
              <w:left w:val="single" w:sz="4" w:space="0" w:color="000000"/>
              <w:bottom w:val="nil"/>
              <w:right w:val="single" w:sz="4" w:space="0" w:color="000000"/>
            </w:tcBorders>
            <w:vAlign w:val="center"/>
          </w:tcPr>
          <w:p w14:paraId="1911BC97"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是</w:t>
            </w:r>
          </w:p>
        </w:tc>
        <w:tc>
          <w:tcPr>
            <w:tcW w:w="1985" w:type="dxa"/>
            <w:tcBorders>
              <w:top w:val="nil"/>
              <w:left w:val="single" w:sz="4" w:space="0" w:color="000000"/>
              <w:bottom w:val="nil"/>
              <w:right w:val="nil"/>
            </w:tcBorders>
            <w:vAlign w:val="center"/>
          </w:tcPr>
          <w:p w14:paraId="587CAE1E"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是</w:t>
            </w:r>
          </w:p>
        </w:tc>
      </w:tr>
      <w:tr w:rsidR="001C2287" w14:paraId="3AB122FE" w14:textId="77777777">
        <w:tc>
          <w:tcPr>
            <w:tcW w:w="1857" w:type="dxa"/>
            <w:tcBorders>
              <w:top w:val="nil"/>
              <w:left w:val="nil"/>
              <w:bottom w:val="single" w:sz="4" w:space="0" w:color="000000"/>
              <w:right w:val="single" w:sz="4" w:space="0" w:color="000000"/>
            </w:tcBorders>
            <w:vAlign w:val="center"/>
          </w:tcPr>
          <w:p w14:paraId="5D144C7E"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固定效应</w:t>
            </w:r>
          </w:p>
        </w:tc>
        <w:tc>
          <w:tcPr>
            <w:tcW w:w="1701" w:type="dxa"/>
            <w:tcBorders>
              <w:top w:val="nil"/>
              <w:left w:val="single" w:sz="4" w:space="0" w:color="000000"/>
              <w:bottom w:val="single" w:sz="4" w:space="0" w:color="000000"/>
              <w:right w:val="single" w:sz="4" w:space="0" w:color="000000"/>
            </w:tcBorders>
            <w:vAlign w:val="center"/>
          </w:tcPr>
          <w:p w14:paraId="6EC76A91"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是</w:t>
            </w:r>
          </w:p>
        </w:tc>
        <w:tc>
          <w:tcPr>
            <w:tcW w:w="1701" w:type="dxa"/>
            <w:tcBorders>
              <w:top w:val="nil"/>
              <w:left w:val="single" w:sz="4" w:space="0" w:color="000000"/>
              <w:bottom w:val="single" w:sz="4" w:space="0" w:color="000000"/>
              <w:right w:val="single" w:sz="4" w:space="0" w:color="000000"/>
            </w:tcBorders>
            <w:vAlign w:val="center"/>
          </w:tcPr>
          <w:p w14:paraId="735032FC"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是</w:t>
            </w:r>
          </w:p>
        </w:tc>
        <w:tc>
          <w:tcPr>
            <w:tcW w:w="1701" w:type="dxa"/>
            <w:tcBorders>
              <w:top w:val="nil"/>
              <w:left w:val="single" w:sz="4" w:space="0" w:color="000000"/>
              <w:bottom w:val="single" w:sz="4" w:space="0" w:color="000000"/>
              <w:right w:val="single" w:sz="4" w:space="0" w:color="000000"/>
            </w:tcBorders>
            <w:vAlign w:val="center"/>
          </w:tcPr>
          <w:p w14:paraId="66C0E68E"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是</w:t>
            </w:r>
          </w:p>
        </w:tc>
        <w:tc>
          <w:tcPr>
            <w:tcW w:w="1985" w:type="dxa"/>
            <w:tcBorders>
              <w:top w:val="nil"/>
              <w:left w:val="single" w:sz="4" w:space="0" w:color="000000"/>
              <w:bottom w:val="single" w:sz="4" w:space="0" w:color="000000"/>
              <w:right w:val="nil"/>
            </w:tcBorders>
            <w:vAlign w:val="center"/>
          </w:tcPr>
          <w:p w14:paraId="1159BCEA"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是</w:t>
            </w:r>
          </w:p>
        </w:tc>
      </w:tr>
      <w:tr w:rsidR="001C2287" w14:paraId="65F3CA81" w14:textId="77777777">
        <w:tc>
          <w:tcPr>
            <w:tcW w:w="1857" w:type="dxa"/>
            <w:tcBorders>
              <w:top w:val="single" w:sz="4" w:space="0" w:color="000000"/>
              <w:left w:val="nil"/>
              <w:bottom w:val="nil"/>
              <w:right w:val="single" w:sz="4" w:space="0" w:color="000000"/>
            </w:tcBorders>
            <w:vAlign w:val="center"/>
          </w:tcPr>
          <w:p w14:paraId="389836C7" w14:textId="77777777" w:rsidR="001C2287" w:rsidRDefault="00000000">
            <w:pPr>
              <w:spacing w:after="0" w:line="240" w:lineRule="auto"/>
              <w:jc w:val="center"/>
              <w:rPr>
                <w:rFonts w:ascii="楷体" w:eastAsia="楷体" w:hAnsi="楷体" w:cs="楷体" w:hint="eastAsia"/>
                <w:sz w:val="18"/>
                <w:szCs w:val="18"/>
              </w:rPr>
            </w:pPr>
            <w:r>
              <w:rPr>
                <w:rFonts w:ascii="楷体" w:eastAsia="楷体" w:hAnsi="楷体" w:cs="楷体" w:hint="eastAsia"/>
                <w:sz w:val="18"/>
                <w:szCs w:val="18"/>
              </w:rPr>
              <w:t>样本量</w:t>
            </w:r>
          </w:p>
        </w:tc>
        <w:tc>
          <w:tcPr>
            <w:tcW w:w="1701" w:type="dxa"/>
            <w:tcBorders>
              <w:top w:val="single" w:sz="4" w:space="0" w:color="000000"/>
              <w:left w:val="single" w:sz="4" w:space="0" w:color="000000"/>
              <w:bottom w:val="nil"/>
              <w:right w:val="single" w:sz="4" w:space="0" w:color="000000"/>
            </w:tcBorders>
            <w:vAlign w:val="center"/>
          </w:tcPr>
          <w:p w14:paraId="427A353A"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7 849 845</w:t>
            </w:r>
          </w:p>
        </w:tc>
        <w:tc>
          <w:tcPr>
            <w:tcW w:w="1701" w:type="dxa"/>
            <w:tcBorders>
              <w:top w:val="single" w:sz="4" w:space="0" w:color="000000"/>
              <w:left w:val="single" w:sz="4" w:space="0" w:color="000000"/>
              <w:bottom w:val="nil"/>
              <w:right w:val="single" w:sz="4" w:space="0" w:color="000000"/>
            </w:tcBorders>
            <w:vAlign w:val="center"/>
          </w:tcPr>
          <w:p w14:paraId="6558D01A"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7 857 696</w:t>
            </w:r>
          </w:p>
        </w:tc>
        <w:tc>
          <w:tcPr>
            <w:tcW w:w="1701" w:type="dxa"/>
            <w:tcBorders>
              <w:top w:val="single" w:sz="4" w:space="0" w:color="000000"/>
              <w:left w:val="single" w:sz="4" w:space="0" w:color="000000"/>
              <w:bottom w:val="nil"/>
              <w:right w:val="single" w:sz="4" w:space="0" w:color="000000"/>
            </w:tcBorders>
            <w:vAlign w:val="center"/>
          </w:tcPr>
          <w:p w14:paraId="1B347414"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7 857 696</w:t>
            </w:r>
          </w:p>
        </w:tc>
        <w:tc>
          <w:tcPr>
            <w:tcW w:w="1985" w:type="dxa"/>
            <w:tcBorders>
              <w:top w:val="single" w:sz="4" w:space="0" w:color="000000"/>
              <w:left w:val="single" w:sz="4" w:space="0" w:color="000000"/>
              <w:bottom w:val="nil"/>
              <w:right w:val="nil"/>
            </w:tcBorders>
            <w:vAlign w:val="center"/>
          </w:tcPr>
          <w:p w14:paraId="4655D5B1"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7 381 584</w:t>
            </w:r>
          </w:p>
        </w:tc>
      </w:tr>
      <w:tr w:rsidR="001C2287" w14:paraId="3CAA61F6" w14:textId="77777777">
        <w:tc>
          <w:tcPr>
            <w:tcW w:w="1857" w:type="dxa"/>
            <w:tcBorders>
              <w:top w:val="nil"/>
              <w:left w:val="nil"/>
            </w:tcBorders>
            <w:vAlign w:val="center"/>
          </w:tcPr>
          <w:p w14:paraId="54ACA395" w14:textId="77777777" w:rsidR="001C2287" w:rsidRDefault="00000000">
            <w:pPr>
              <w:spacing w:after="0" w:line="240" w:lineRule="auto"/>
              <w:jc w:val="center"/>
              <w:rPr>
                <w:rFonts w:ascii="Times New Roman" w:eastAsia="宋体" w:hAnsi="Times New Roman" w:cs="Times New Roman"/>
                <w:i/>
                <w:sz w:val="18"/>
                <w:szCs w:val="18"/>
              </w:rPr>
            </w:pPr>
            <w:r>
              <w:rPr>
                <w:rFonts w:ascii="Times New Roman" w:eastAsia="宋体" w:hAnsi="Times New Roman" w:cs="Times New Roman" w:hint="eastAsia"/>
                <w:i/>
                <w:sz w:val="18"/>
                <w:szCs w:val="18"/>
              </w:rPr>
              <w:t>Adj R</w:t>
            </w:r>
            <w:r>
              <w:rPr>
                <w:rFonts w:ascii="Times New Roman" w:eastAsia="宋体" w:hAnsi="Times New Roman" w:cs="Times New Roman" w:hint="eastAsia"/>
                <w:i/>
                <w:sz w:val="18"/>
                <w:szCs w:val="18"/>
                <w:vertAlign w:val="superscript"/>
              </w:rPr>
              <w:t>2</w:t>
            </w:r>
          </w:p>
        </w:tc>
        <w:tc>
          <w:tcPr>
            <w:tcW w:w="1701" w:type="dxa"/>
            <w:tcBorders>
              <w:top w:val="nil"/>
            </w:tcBorders>
            <w:vAlign w:val="center"/>
          </w:tcPr>
          <w:p w14:paraId="7E0C7A78"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0.0554</w:t>
            </w:r>
          </w:p>
        </w:tc>
        <w:tc>
          <w:tcPr>
            <w:tcW w:w="1701" w:type="dxa"/>
            <w:tcBorders>
              <w:top w:val="nil"/>
            </w:tcBorders>
            <w:vAlign w:val="center"/>
          </w:tcPr>
          <w:p w14:paraId="3FC34AA6"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0.0565</w:t>
            </w:r>
          </w:p>
        </w:tc>
        <w:tc>
          <w:tcPr>
            <w:tcW w:w="1701" w:type="dxa"/>
            <w:tcBorders>
              <w:top w:val="nil"/>
            </w:tcBorders>
            <w:vAlign w:val="center"/>
          </w:tcPr>
          <w:p w14:paraId="4213A24A"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0.0523</w:t>
            </w:r>
          </w:p>
        </w:tc>
        <w:tc>
          <w:tcPr>
            <w:tcW w:w="1985" w:type="dxa"/>
            <w:tcBorders>
              <w:top w:val="nil"/>
              <w:right w:val="nil"/>
            </w:tcBorders>
            <w:vAlign w:val="center"/>
          </w:tcPr>
          <w:p w14:paraId="0645BE83" w14:textId="77777777" w:rsidR="001C2287" w:rsidRDefault="00000000">
            <w:pPr>
              <w:spacing w:after="0" w:line="240" w:lineRule="auto"/>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0.0551</w:t>
            </w:r>
          </w:p>
        </w:tc>
      </w:tr>
    </w:tbl>
    <w:p w14:paraId="6F7CE0F2" w14:textId="56EB284A" w:rsidR="001C2287" w:rsidRDefault="00000000">
      <w:pPr>
        <w:spacing w:after="0" w:line="240" w:lineRule="auto"/>
        <w:ind w:firstLineChars="200" w:firstLine="361"/>
        <w:jc w:val="both"/>
        <w:rPr>
          <w:rFonts w:ascii="黑体" w:eastAsia="黑体" w:hAnsi="黑体" w:cs="黑体" w:hint="eastAsia"/>
          <w:sz w:val="18"/>
          <w:szCs w:val="18"/>
        </w:rPr>
      </w:pPr>
      <w:r>
        <w:rPr>
          <w:rFonts w:ascii="黑体" w:eastAsia="黑体" w:hAnsi="黑体" w:cs="黑体" w:hint="eastAsia"/>
          <w:b/>
          <w:bCs/>
          <w:sz w:val="18"/>
          <w:szCs w:val="18"/>
        </w:rPr>
        <w:t>注：</w:t>
      </w:r>
      <w:r>
        <w:rPr>
          <w:rFonts w:ascii="楷体" w:eastAsia="楷体" w:hAnsi="楷体" w:cs="楷体" w:hint="eastAsia"/>
          <w:sz w:val="18"/>
          <w:szCs w:val="18"/>
        </w:rPr>
        <w:t>①</w:t>
      </w:r>
      <w:proofErr w:type="spellStart"/>
      <w:r>
        <w:rPr>
          <w:rFonts w:ascii="Times New Roman" w:eastAsia="楷体" w:hAnsi="Times New Roman" w:cs="Times New Roman"/>
          <w:i/>
          <w:iCs/>
          <w:sz w:val="18"/>
          <w:szCs w:val="18"/>
        </w:rPr>
        <w:t>PanelA</w:t>
      </w:r>
      <w:proofErr w:type="spellEnd"/>
      <w:r>
        <w:rPr>
          <w:rFonts w:ascii="楷体" w:eastAsia="楷体" w:hAnsi="楷体" w:cs="楷体" w:hint="eastAsia"/>
          <w:sz w:val="18"/>
          <w:szCs w:val="18"/>
        </w:rPr>
        <w:t>列（</w:t>
      </w:r>
      <w:r>
        <w:rPr>
          <w:rFonts w:ascii="Times New Roman" w:eastAsia="楷体" w:hAnsi="Times New Roman" w:cs="Times New Roman" w:hint="eastAsia"/>
          <w:sz w:val="18"/>
          <w:szCs w:val="18"/>
        </w:rPr>
        <w:t>1</w:t>
      </w:r>
      <w:r>
        <w:rPr>
          <w:rFonts w:ascii="楷体" w:eastAsia="楷体" w:hAnsi="楷体" w:cs="楷体" w:hint="eastAsia"/>
          <w:sz w:val="18"/>
          <w:szCs w:val="18"/>
        </w:rPr>
        <w:t>）只控制个体固定效应和年度固定效应；②</w:t>
      </w:r>
      <w:proofErr w:type="spellStart"/>
      <w:r>
        <w:rPr>
          <w:rFonts w:ascii="Times New Roman" w:eastAsia="楷体" w:hAnsi="Times New Roman" w:cs="Times New Roman" w:hint="eastAsia"/>
          <w:i/>
          <w:iCs/>
          <w:sz w:val="18"/>
          <w:szCs w:val="18"/>
        </w:rPr>
        <w:t>PanelA</w:t>
      </w:r>
      <w:proofErr w:type="spellEnd"/>
      <w:r>
        <w:rPr>
          <w:rFonts w:ascii="楷体" w:eastAsia="楷体" w:hAnsi="楷体" w:cs="楷体" w:hint="eastAsia"/>
          <w:sz w:val="18"/>
          <w:szCs w:val="18"/>
        </w:rPr>
        <w:t>列（</w:t>
      </w:r>
      <w:r>
        <w:rPr>
          <w:rFonts w:ascii="Times New Roman" w:eastAsia="楷体" w:hAnsi="Times New Roman" w:cs="Times New Roman" w:hint="eastAsia"/>
          <w:sz w:val="18"/>
          <w:szCs w:val="18"/>
        </w:rPr>
        <w:t>2</w:t>
      </w:r>
      <w:r>
        <w:rPr>
          <w:rFonts w:ascii="楷体" w:eastAsia="楷体" w:hAnsi="楷体" w:cs="楷体" w:hint="eastAsia"/>
          <w:sz w:val="18"/>
          <w:szCs w:val="18"/>
        </w:rPr>
        <w:t>）控制了预期效应、</w:t>
      </w:r>
      <w:proofErr w:type="spellStart"/>
      <w:r>
        <w:rPr>
          <w:rFonts w:ascii="Times New Roman" w:eastAsia="楷体" w:hAnsi="Times New Roman" w:cs="Times New Roman" w:hint="eastAsia"/>
          <w:i/>
          <w:iCs/>
          <w:sz w:val="18"/>
          <w:szCs w:val="18"/>
        </w:rPr>
        <w:t>PanelA</w:t>
      </w:r>
      <w:proofErr w:type="spellEnd"/>
      <w:r>
        <w:rPr>
          <w:rFonts w:ascii="楷体" w:eastAsia="楷体" w:hAnsi="楷体" w:cs="楷体" w:hint="eastAsia"/>
          <w:sz w:val="18"/>
          <w:szCs w:val="18"/>
        </w:rPr>
        <w:t>列（</w:t>
      </w:r>
      <w:r>
        <w:rPr>
          <w:rFonts w:ascii="Times New Roman" w:eastAsia="楷体" w:hAnsi="Times New Roman" w:cs="Times New Roman"/>
          <w:sz w:val="18"/>
          <w:szCs w:val="18"/>
        </w:rPr>
        <w:t>4</w:t>
      </w:r>
      <w:r>
        <w:rPr>
          <w:rFonts w:ascii="楷体" w:eastAsia="楷体" w:hAnsi="楷体" w:cs="楷体" w:hint="eastAsia"/>
          <w:sz w:val="18"/>
          <w:szCs w:val="18"/>
        </w:rPr>
        <w:t>）控制了</w:t>
      </w:r>
      <w:r>
        <w:rPr>
          <w:rFonts w:ascii="Times New Roman" w:eastAsia="楷体" w:hAnsi="Times New Roman" w:cs="Times New Roman" w:hint="eastAsia"/>
          <w:sz w:val="18"/>
          <w:szCs w:val="18"/>
        </w:rPr>
        <w:t>IMR</w:t>
      </w:r>
      <w:r>
        <w:rPr>
          <w:rFonts w:ascii="Times New Roman" w:eastAsia="楷体" w:hAnsi="Times New Roman" w:cs="Times New Roman" w:hint="eastAsia"/>
          <w:sz w:val="18"/>
          <w:szCs w:val="18"/>
        </w:rPr>
        <w:t>、</w:t>
      </w:r>
      <w:proofErr w:type="spellStart"/>
      <w:r>
        <w:rPr>
          <w:rFonts w:ascii="Times New Roman" w:eastAsia="楷体" w:hAnsi="Times New Roman" w:cs="Times New Roman" w:hint="eastAsia"/>
          <w:i/>
          <w:iCs/>
          <w:sz w:val="18"/>
          <w:szCs w:val="18"/>
        </w:rPr>
        <w:t>PanelB</w:t>
      </w:r>
      <w:proofErr w:type="spellEnd"/>
      <w:r>
        <w:rPr>
          <w:rFonts w:ascii="楷体" w:eastAsia="楷体" w:hAnsi="楷体" w:cs="楷体" w:hint="eastAsia"/>
          <w:sz w:val="18"/>
          <w:szCs w:val="18"/>
        </w:rPr>
        <w:t>列（</w:t>
      </w:r>
      <w:r>
        <w:rPr>
          <w:rFonts w:ascii="Times New Roman" w:eastAsia="楷体" w:hAnsi="Times New Roman" w:cs="Times New Roman" w:hint="eastAsia"/>
          <w:sz w:val="18"/>
          <w:szCs w:val="18"/>
        </w:rPr>
        <w:t>3</w:t>
      </w:r>
      <w:r>
        <w:rPr>
          <w:rFonts w:ascii="楷体" w:eastAsia="楷体" w:hAnsi="楷体" w:cs="楷体" w:hint="eastAsia"/>
          <w:sz w:val="18"/>
          <w:szCs w:val="18"/>
        </w:rPr>
        <w:t>）控制了城市是否开通高铁，</w:t>
      </w:r>
      <w:r w:rsidR="005E67E4">
        <w:rPr>
          <w:rFonts w:ascii="楷体" w:eastAsia="楷体" w:hAnsi="楷体" w:cs="楷体" w:hint="eastAsia"/>
          <w:sz w:val="18"/>
          <w:szCs w:val="18"/>
        </w:rPr>
        <w:t>控制变量</w:t>
      </w:r>
      <w:r>
        <w:rPr>
          <w:rFonts w:ascii="楷体" w:eastAsia="楷体" w:hAnsi="楷体" w:cs="楷体" w:hint="eastAsia"/>
          <w:sz w:val="18"/>
          <w:szCs w:val="18"/>
        </w:rPr>
        <w:t>结果未展示，作者备索。</w:t>
      </w:r>
    </w:p>
    <w:p w14:paraId="24CEA82A" w14:textId="77777777" w:rsidR="001C2287" w:rsidRDefault="001C2287">
      <w:pPr>
        <w:spacing w:after="0" w:line="400" w:lineRule="exact"/>
        <w:rPr>
          <w:sz w:val="21"/>
          <w:szCs w:val="21"/>
        </w:rPr>
      </w:pPr>
    </w:p>
    <w:p w14:paraId="27161DAA" w14:textId="77777777" w:rsidR="001C2287" w:rsidRDefault="00000000">
      <w:pPr>
        <w:pStyle w:val="1"/>
        <w:spacing w:before="0" w:after="0" w:line="240" w:lineRule="auto"/>
        <w:jc w:val="center"/>
        <w:rPr>
          <w:rFonts w:ascii="仿宋" w:eastAsia="仿宋" w:hAnsi="仿宋" w:cs="Times New Roman" w:hint="eastAsia"/>
          <w:b/>
          <w:color w:val="auto"/>
          <w:kern w:val="0"/>
          <w:sz w:val="28"/>
          <w:szCs w:val="28"/>
          <w14:ligatures w14:val="none"/>
        </w:rPr>
      </w:pPr>
      <w:r>
        <w:rPr>
          <w:rFonts w:ascii="仿宋" w:eastAsia="仿宋" w:hAnsi="仿宋" w:cs="Times New Roman" w:hint="eastAsia"/>
          <w:b/>
          <w:color w:val="auto"/>
          <w:kern w:val="0"/>
          <w:sz w:val="28"/>
          <w:szCs w:val="28"/>
          <w14:ligatures w14:val="none"/>
        </w:rPr>
        <w:t>参考文献</w:t>
      </w:r>
    </w:p>
    <w:p w14:paraId="167CC466" w14:textId="77777777" w:rsidR="001C2287" w:rsidRDefault="00000000">
      <w:pPr>
        <w:numPr>
          <w:ilvl w:val="0"/>
          <w:numId w:val="1"/>
        </w:numPr>
        <w:spacing w:after="0" w:line="400" w:lineRule="exact"/>
        <w:ind w:left="210" w:hangingChars="100" w:hanging="210"/>
        <w:jc w:val="both"/>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蒋灵多</w:t>
      </w:r>
      <w:r>
        <w:rPr>
          <w:rFonts w:ascii="Times New Roman" w:eastAsia="宋体" w:hAnsi="Times New Roman" w:cs="Times New Roman" w:hint="eastAsia"/>
          <w:color w:val="000000"/>
          <w:sz w:val="21"/>
          <w:szCs w:val="21"/>
        </w:rPr>
        <w:t>、</w:t>
      </w:r>
      <w:r>
        <w:rPr>
          <w:rFonts w:ascii="Times New Roman" w:eastAsia="宋体" w:hAnsi="Times New Roman" w:cs="Times New Roman"/>
          <w:color w:val="000000"/>
          <w:sz w:val="21"/>
          <w:szCs w:val="21"/>
        </w:rPr>
        <w:t>陆毅</w:t>
      </w:r>
      <w:r>
        <w:rPr>
          <w:rFonts w:ascii="Times New Roman" w:eastAsia="宋体" w:hAnsi="Times New Roman" w:cs="Times New Roman" w:hint="eastAsia"/>
          <w:color w:val="000000"/>
          <w:sz w:val="21"/>
          <w:szCs w:val="21"/>
        </w:rPr>
        <w:t>、</w:t>
      </w:r>
      <w:r>
        <w:rPr>
          <w:rFonts w:ascii="Times New Roman" w:eastAsia="宋体" w:hAnsi="Times New Roman" w:cs="Times New Roman"/>
          <w:color w:val="000000"/>
          <w:sz w:val="21"/>
          <w:szCs w:val="21"/>
        </w:rPr>
        <w:t>张国峰</w:t>
      </w:r>
      <w:r>
        <w:rPr>
          <w:rFonts w:ascii="Times New Roman" w:eastAsia="宋体" w:hAnsi="Times New Roman" w:cs="Times New Roman" w:hint="eastAsia"/>
          <w:color w:val="000000"/>
          <w:sz w:val="21"/>
          <w:szCs w:val="21"/>
        </w:rPr>
        <w:t>，</w:t>
      </w:r>
      <w:r>
        <w:rPr>
          <w:rFonts w:ascii="Times New Roman" w:eastAsia="宋体" w:hAnsi="Times New Roman" w:cs="Times New Roman" w:hint="eastAsia"/>
          <w:color w:val="000000"/>
          <w:sz w:val="21"/>
          <w:szCs w:val="21"/>
        </w:rPr>
        <w:t xml:space="preserve"> 2021</w:t>
      </w:r>
      <w:r>
        <w:rPr>
          <w:rFonts w:ascii="Times New Roman" w:eastAsia="宋体" w:hAnsi="Times New Roman" w:cs="Times New Roman" w:hint="eastAsia"/>
          <w:color w:val="000000"/>
          <w:sz w:val="21"/>
          <w:szCs w:val="21"/>
        </w:rPr>
        <w:t>：《</w:t>
      </w:r>
      <w:r>
        <w:rPr>
          <w:rFonts w:ascii="Times New Roman" w:eastAsia="宋体" w:hAnsi="Times New Roman" w:cs="Times New Roman"/>
          <w:color w:val="000000"/>
          <w:sz w:val="21"/>
          <w:szCs w:val="21"/>
        </w:rPr>
        <w:t>自由贸易试验区建设与中国出口行为</w:t>
      </w:r>
      <w:r>
        <w:rPr>
          <w:rFonts w:ascii="Times New Roman" w:eastAsia="宋体" w:hAnsi="Times New Roman" w:cs="Times New Roman" w:hint="eastAsia"/>
          <w:color w:val="000000"/>
          <w:sz w:val="21"/>
          <w:szCs w:val="21"/>
        </w:rPr>
        <w:t>》，《</w:t>
      </w:r>
      <w:r>
        <w:rPr>
          <w:rFonts w:ascii="Times New Roman" w:eastAsia="宋体" w:hAnsi="Times New Roman" w:cs="Times New Roman"/>
          <w:color w:val="000000"/>
          <w:sz w:val="21"/>
          <w:szCs w:val="21"/>
        </w:rPr>
        <w:t>中国工业经济</w:t>
      </w:r>
      <w:r>
        <w:rPr>
          <w:rFonts w:ascii="Times New Roman" w:eastAsia="宋体" w:hAnsi="Times New Roman" w:cs="Times New Roman" w:hint="eastAsia"/>
          <w:color w:val="000000"/>
          <w:sz w:val="21"/>
          <w:szCs w:val="21"/>
        </w:rPr>
        <w:t>》第</w:t>
      </w:r>
      <w:r>
        <w:rPr>
          <w:rFonts w:ascii="Times New Roman" w:eastAsia="宋体" w:hAnsi="Times New Roman" w:cs="Times New Roman" w:hint="eastAsia"/>
          <w:color w:val="000000"/>
          <w:sz w:val="21"/>
          <w:szCs w:val="21"/>
        </w:rPr>
        <w:t>8</w:t>
      </w:r>
      <w:r>
        <w:rPr>
          <w:rFonts w:ascii="Times New Roman" w:eastAsia="宋体" w:hAnsi="Times New Roman" w:cs="Times New Roman" w:hint="eastAsia"/>
          <w:color w:val="000000"/>
          <w:sz w:val="21"/>
          <w:szCs w:val="21"/>
        </w:rPr>
        <w:t>期。</w:t>
      </w:r>
    </w:p>
    <w:p w14:paraId="4B873507" w14:textId="77777777" w:rsidR="001C2287" w:rsidRDefault="00000000">
      <w:pPr>
        <w:numPr>
          <w:ilvl w:val="0"/>
          <w:numId w:val="1"/>
        </w:numPr>
        <w:spacing w:after="0" w:line="400" w:lineRule="exact"/>
        <w:ind w:left="210" w:hangingChars="100" w:hanging="210"/>
        <w:jc w:val="both"/>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王雨飞</w:t>
      </w:r>
      <w:r>
        <w:rPr>
          <w:rFonts w:ascii="Times New Roman" w:eastAsia="宋体" w:hAnsi="Times New Roman" w:cs="Times New Roman" w:hint="eastAsia"/>
          <w:color w:val="000000"/>
          <w:sz w:val="21"/>
          <w:szCs w:val="21"/>
        </w:rPr>
        <w:t>、</w:t>
      </w:r>
      <w:r>
        <w:rPr>
          <w:rFonts w:ascii="Times New Roman" w:eastAsia="宋体" w:hAnsi="Times New Roman" w:cs="Times New Roman"/>
          <w:color w:val="000000"/>
          <w:sz w:val="21"/>
          <w:szCs w:val="21"/>
        </w:rPr>
        <w:t>王云辉</w:t>
      </w:r>
      <w:r>
        <w:rPr>
          <w:rFonts w:ascii="Times New Roman" w:eastAsia="宋体" w:hAnsi="Times New Roman" w:cs="Times New Roman" w:hint="eastAsia"/>
          <w:color w:val="000000"/>
          <w:sz w:val="21"/>
          <w:szCs w:val="21"/>
        </w:rPr>
        <w:t>、</w:t>
      </w:r>
      <w:r>
        <w:rPr>
          <w:rFonts w:ascii="Times New Roman" w:eastAsia="宋体" w:hAnsi="Times New Roman" w:cs="Times New Roman"/>
          <w:color w:val="000000"/>
          <w:sz w:val="21"/>
          <w:szCs w:val="21"/>
        </w:rPr>
        <w:t>许可</w:t>
      </w:r>
      <w:r>
        <w:rPr>
          <w:rFonts w:ascii="Times New Roman" w:eastAsia="宋体" w:hAnsi="Times New Roman" w:cs="Times New Roman" w:hint="eastAsia"/>
          <w:color w:val="000000"/>
          <w:sz w:val="21"/>
          <w:szCs w:val="21"/>
        </w:rPr>
        <w:t>、曹清峰，</w:t>
      </w:r>
      <w:r>
        <w:rPr>
          <w:rFonts w:ascii="Times New Roman" w:eastAsia="宋体" w:hAnsi="Times New Roman" w:cs="Times New Roman" w:hint="eastAsia"/>
          <w:color w:val="000000"/>
          <w:sz w:val="21"/>
          <w:szCs w:val="21"/>
        </w:rPr>
        <w:t>2024</w:t>
      </w:r>
      <w:r>
        <w:rPr>
          <w:rFonts w:ascii="Times New Roman" w:eastAsia="宋体" w:hAnsi="Times New Roman" w:cs="Times New Roman" w:hint="eastAsia"/>
          <w:color w:val="000000"/>
          <w:sz w:val="21"/>
          <w:szCs w:val="21"/>
        </w:rPr>
        <w:t>：《</w:t>
      </w:r>
      <w:r>
        <w:rPr>
          <w:rFonts w:ascii="Times New Roman" w:eastAsia="宋体" w:hAnsi="Times New Roman" w:cs="Times New Roman"/>
          <w:color w:val="000000"/>
          <w:sz w:val="21"/>
          <w:szCs w:val="21"/>
        </w:rPr>
        <w:t>高铁连通对企业跨区域合作创新的影响及作用机制</w:t>
      </w:r>
      <w:r>
        <w:rPr>
          <w:rFonts w:ascii="Times New Roman" w:eastAsia="宋体" w:hAnsi="Times New Roman" w:cs="Times New Roman" w:hint="eastAsia"/>
          <w:color w:val="000000"/>
          <w:sz w:val="21"/>
          <w:szCs w:val="21"/>
        </w:rPr>
        <w:t>》，《</w:t>
      </w:r>
      <w:r>
        <w:rPr>
          <w:rFonts w:ascii="Times New Roman" w:eastAsia="宋体" w:hAnsi="Times New Roman" w:cs="Times New Roman"/>
          <w:color w:val="000000"/>
          <w:sz w:val="21"/>
          <w:szCs w:val="21"/>
        </w:rPr>
        <w:t>中国人口</w:t>
      </w:r>
      <w:r>
        <w:rPr>
          <w:rFonts w:ascii="Times New Roman" w:eastAsia="宋体" w:hAnsi="Times New Roman" w:cs="Times New Roman"/>
          <w:color w:val="000000"/>
          <w:sz w:val="21"/>
          <w:szCs w:val="21"/>
        </w:rPr>
        <w:t>·</w:t>
      </w:r>
      <w:r>
        <w:rPr>
          <w:rFonts w:ascii="Times New Roman" w:eastAsia="宋体" w:hAnsi="Times New Roman" w:cs="Times New Roman"/>
          <w:color w:val="000000"/>
          <w:sz w:val="21"/>
          <w:szCs w:val="21"/>
        </w:rPr>
        <w:t>资源与环境</w:t>
      </w:r>
      <w:r>
        <w:rPr>
          <w:rFonts w:ascii="Times New Roman" w:eastAsia="宋体" w:hAnsi="Times New Roman" w:cs="Times New Roman" w:hint="eastAsia"/>
          <w:color w:val="000000"/>
          <w:sz w:val="21"/>
          <w:szCs w:val="21"/>
        </w:rPr>
        <w:t>》第</w:t>
      </w:r>
      <w:r>
        <w:rPr>
          <w:rFonts w:ascii="Times New Roman" w:eastAsia="宋体" w:hAnsi="Times New Roman" w:cs="Times New Roman" w:hint="eastAsia"/>
          <w:color w:val="000000"/>
          <w:sz w:val="21"/>
          <w:szCs w:val="21"/>
        </w:rPr>
        <w:t>5</w:t>
      </w:r>
      <w:r>
        <w:rPr>
          <w:rFonts w:ascii="Times New Roman" w:eastAsia="宋体" w:hAnsi="Times New Roman" w:cs="Times New Roman" w:hint="eastAsia"/>
          <w:color w:val="000000"/>
          <w:sz w:val="21"/>
          <w:szCs w:val="21"/>
        </w:rPr>
        <w:t>期。</w:t>
      </w:r>
    </w:p>
    <w:p w14:paraId="1D0A1B52" w14:textId="77777777" w:rsidR="001C2287" w:rsidRDefault="00000000">
      <w:pPr>
        <w:numPr>
          <w:ilvl w:val="0"/>
          <w:numId w:val="1"/>
        </w:numPr>
        <w:spacing w:after="0" w:line="400" w:lineRule="exact"/>
        <w:ind w:left="210" w:hangingChars="100" w:hanging="210"/>
        <w:jc w:val="both"/>
        <w:rPr>
          <w:rFonts w:ascii="Times New Roman" w:eastAsia="宋体" w:hAnsi="Times New Roman" w:cs="Times New Roman"/>
          <w:color w:val="000000"/>
          <w:sz w:val="21"/>
          <w:szCs w:val="21"/>
        </w:rPr>
      </w:pPr>
      <w:r>
        <w:rPr>
          <w:rFonts w:ascii="Times New Roman" w:eastAsia="宋体" w:hAnsi="Times New Roman" w:cs="Times New Roman"/>
          <w:color w:val="000000"/>
          <w:sz w:val="21"/>
          <w:szCs w:val="21"/>
        </w:rPr>
        <w:t>许文立</w:t>
      </w:r>
      <w:r>
        <w:rPr>
          <w:rFonts w:ascii="Times New Roman" w:eastAsia="宋体" w:hAnsi="Times New Roman" w:cs="Times New Roman" w:hint="eastAsia"/>
          <w:color w:val="000000"/>
          <w:sz w:val="21"/>
          <w:szCs w:val="21"/>
        </w:rPr>
        <w:t>、</w:t>
      </w:r>
      <w:r>
        <w:rPr>
          <w:rFonts w:ascii="Times New Roman" w:eastAsia="宋体" w:hAnsi="Times New Roman" w:cs="Times New Roman"/>
          <w:color w:val="000000"/>
          <w:sz w:val="21"/>
          <w:szCs w:val="21"/>
        </w:rPr>
        <w:t>孙磊</w:t>
      </w:r>
      <w:r>
        <w:rPr>
          <w:rFonts w:ascii="Times New Roman" w:eastAsia="宋体" w:hAnsi="Times New Roman" w:cs="Times New Roman" w:hint="eastAsia"/>
          <w:color w:val="000000"/>
          <w:sz w:val="21"/>
          <w:szCs w:val="21"/>
        </w:rPr>
        <w:t>，</w:t>
      </w:r>
      <w:r>
        <w:rPr>
          <w:rFonts w:ascii="Times New Roman" w:eastAsia="宋体" w:hAnsi="Times New Roman" w:cs="Times New Roman" w:hint="eastAsia"/>
          <w:color w:val="000000"/>
          <w:sz w:val="21"/>
          <w:szCs w:val="21"/>
        </w:rPr>
        <w:t>2023</w:t>
      </w:r>
      <w:r>
        <w:rPr>
          <w:rFonts w:ascii="Times New Roman" w:eastAsia="宋体" w:hAnsi="Times New Roman" w:cs="Times New Roman" w:hint="eastAsia"/>
          <w:color w:val="000000"/>
          <w:sz w:val="21"/>
          <w:szCs w:val="21"/>
        </w:rPr>
        <w:t>：《</w:t>
      </w:r>
      <w:r>
        <w:rPr>
          <w:rFonts w:ascii="Times New Roman" w:eastAsia="宋体" w:hAnsi="Times New Roman" w:cs="Times New Roman"/>
          <w:color w:val="000000"/>
          <w:sz w:val="21"/>
          <w:szCs w:val="21"/>
        </w:rPr>
        <w:t>市场激励型环境规制与能源消费结构转型</w:t>
      </w:r>
      <w:r>
        <w:rPr>
          <w:rFonts w:ascii="Times New Roman" w:eastAsia="宋体" w:hAnsi="Times New Roman" w:cs="Times New Roman"/>
          <w:color w:val="000000"/>
          <w:sz w:val="21"/>
          <w:szCs w:val="21"/>
        </w:rPr>
        <w:t>——</w:t>
      </w:r>
      <w:r>
        <w:rPr>
          <w:rFonts w:ascii="Times New Roman" w:eastAsia="宋体" w:hAnsi="Times New Roman" w:cs="Times New Roman"/>
          <w:color w:val="000000"/>
          <w:sz w:val="21"/>
          <w:szCs w:val="21"/>
        </w:rPr>
        <w:t>来自中国碳排放权交易试点的经验证据</w:t>
      </w:r>
      <w:r>
        <w:rPr>
          <w:rFonts w:ascii="Times New Roman" w:eastAsia="宋体" w:hAnsi="Times New Roman" w:cs="Times New Roman" w:hint="eastAsia"/>
          <w:color w:val="000000"/>
          <w:sz w:val="21"/>
          <w:szCs w:val="21"/>
        </w:rPr>
        <w:t>》，《</w:t>
      </w:r>
      <w:r>
        <w:rPr>
          <w:rFonts w:ascii="Times New Roman" w:eastAsia="宋体" w:hAnsi="Times New Roman" w:cs="Times New Roman"/>
          <w:color w:val="000000"/>
          <w:sz w:val="21"/>
          <w:szCs w:val="21"/>
        </w:rPr>
        <w:t>数量经济技术经济研究</w:t>
      </w:r>
      <w:r>
        <w:rPr>
          <w:rFonts w:ascii="Times New Roman" w:eastAsia="宋体" w:hAnsi="Times New Roman" w:cs="Times New Roman" w:hint="eastAsia"/>
          <w:color w:val="000000"/>
          <w:sz w:val="21"/>
          <w:szCs w:val="21"/>
        </w:rPr>
        <w:t>》第</w:t>
      </w:r>
      <w:r>
        <w:rPr>
          <w:rFonts w:ascii="Times New Roman" w:eastAsia="宋体" w:hAnsi="Times New Roman" w:cs="Times New Roman" w:hint="eastAsia"/>
          <w:color w:val="000000"/>
          <w:sz w:val="21"/>
          <w:szCs w:val="21"/>
        </w:rPr>
        <w:t>7</w:t>
      </w:r>
      <w:r>
        <w:rPr>
          <w:rFonts w:ascii="Times New Roman" w:eastAsia="宋体" w:hAnsi="Times New Roman" w:cs="Times New Roman" w:hint="eastAsia"/>
          <w:color w:val="000000"/>
          <w:sz w:val="21"/>
          <w:szCs w:val="21"/>
        </w:rPr>
        <w:t>期。</w:t>
      </w:r>
    </w:p>
    <w:p w14:paraId="27C6E119" w14:textId="77777777" w:rsidR="001C2287" w:rsidRDefault="00000000">
      <w:pPr>
        <w:numPr>
          <w:ilvl w:val="0"/>
          <w:numId w:val="1"/>
        </w:numPr>
        <w:spacing w:after="0" w:line="400" w:lineRule="exact"/>
        <w:ind w:left="210" w:hangingChars="100" w:hanging="210"/>
        <w:jc w:val="both"/>
        <w:rPr>
          <w:rFonts w:ascii="Times New Roman" w:hAnsi="Times New Roman" w:cs="Times New Roman"/>
          <w:sz w:val="21"/>
          <w:szCs w:val="21"/>
        </w:rPr>
      </w:pPr>
      <w:r>
        <w:rPr>
          <w:rFonts w:ascii="Times New Roman" w:eastAsia="宋体" w:hAnsi="Times New Roman" w:cs="Times New Roman"/>
          <w:color w:val="000000"/>
          <w:sz w:val="21"/>
          <w:szCs w:val="21"/>
        </w:rPr>
        <w:t>Roth, J., P. H. C. Sant’</w:t>
      </w:r>
      <w:r>
        <w:rPr>
          <w:rFonts w:ascii="Times New Roman" w:eastAsia="宋体" w:hAnsi="Times New Roman" w:cs="Times New Roman" w:hint="eastAsia"/>
          <w:color w:val="000000"/>
          <w:sz w:val="21"/>
          <w:szCs w:val="21"/>
        </w:rPr>
        <w:t xml:space="preserve"> </w:t>
      </w:r>
      <w:r>
        <w:rPr>
          <w:rFonts w:ascii="Times New Roman" w:eastAsia="宋体" w:hAnsi="Times New Roman" w:cs="Times New Roman"/>
          <w:color w:val="000000"/>
          <w:sz w:val="21"/>
          <w:szCs w:val="21"/>
        </w:rPr>
        <w:t xml:space="preserve">Anna, A. Bilinski, and J. Poe. 2023. “What’s Trending in </w:t>
      </w:r>
      <w:r>
        <w:rPr>
          <w:rFonts w:ascii="Times New Roman" w:eastAsia="宋体" w:hAnsi="Times New Roman" w:cs="Times New Roman"/>
          <w:color w:val="000000"/>
          <w:sz w:val="21"/>
          <w:szCs w:val="21"/>
        </w:rPr>
        <w:lastRenderedPageBreak/>
        <w:t>Diff</w:t>
      </w:r>
      <w:r>
        <w:rPr>
          <w:rFonts w:ascii="Times New Roman" w:eastAsia="Segoe UI" w:hAnsi="Times New Roman" w:cs="Times New Roman"/>
          <w:color w:val="0F1115"/>
          <w:sz w:val="21"/>
          <w:szCs w:val="21"/>
          <w:shd w:val="clear" w:color="auto" w:fill="FFFFFF"/>
        </w:rPr>
        <w:t>erence-in-Differences? A Synthesis of the Recent Econometrics Literature.”</w:t>
      </w:r>
      <w:r>
        <w:rPr>
          <w:rFonts w:ascii="Times New Roman" w:hAnsi="Times New Roman" w:cs="Times New Roman" w:hint="eastAsia"/>
          <w:color w:val="0F1115"/>
          <w:sz w:val="21"/>
          <w:szCs w:val="21"/>
          <w:shd w:val="clear" w:color="auto" w:fill="FFFFFF"/>
        </w:rPr>
        <w:t xml:space="preserve"> </w:t>
      </w:r>
      <w:r>
        <w:rPr>
          <w:rStyle w:val="a6"/>
          <w:rFonts w:ascii="Times New Roman" w:eastAsia="Segoe UI" w:hAnsi="Times New Roman" w:cs="Times New Roman"/>
          <w:color w:val="0F1115"/>
          <w:sz w:val="21"/>
          <w:szCs w:val="21"/>
          <w:shd w:val="clear" w:color="auto" w:fill="FFFFFF"/>
        </w:rPr>
        <w:t>Journal of Econometrics</w:t>
      </w:r>
      <w:r>
        <w:rPr>
          <w:rFonts w:ascii="Times New Roman" w:hAnsi="Times New Roman" w:cs="Times New Roman" w:hint="eastAsia"/>
          <w:color w:val="0F1115"/>
          <w:sz w:val="21"/>
          <w:szCs w:val="21"/>
          <w:shd w:val="clear" w:color="auto" w:fill="FFFFFF"/>
        </w:rPr>
        <w:t xml:space="preserve"> </w:t>
      </w:r>
      <w:r>
        <w:rPr>
          <w:rFonts w:ascii="Times New Roman" w:eastAsia="Segoe UI" w:hAnsi="Times New Roman" w:cs="Times New Roman"/>
          <w:color w:val="0F1115"/>
          <w:sz w:val="21"/>
          <w:szCs w:val="21"/>
          <w:shd w:val="clear" w:color="auto" w:fill="FFFFFF"/>
        </w:rPr>
        <w:t>235(2): 2218–2244.</w:t>
      </w:r>
    </w:p>
    <w:p w14:paraId="13B63A6D" w14:textId="77777777" w:rsidR="001C2287" w:rsidRDefault="001C2287">
      <w:pPr>
        <w:spacing w:after="0" w:line="400" w:lineRule="exact"/>
        <w:ind w:left="210" w:hangingChars="100" w:hanging="210"/>
        <w:jc w:val="both"/>
        <w:rPr>
          <w:rFonts w:ascii="Times New Roman" w:eastAsia="Segoe UI" w:hAnsi="Times New Roman" w:cs="Times New Roman"/>
          <w:color w:val="0F1115"/>
          <w:sz w:val="21"/>
          <w:szCs w:val="21"/>
          <w:shd w:val="clear" w:color="auto" w:fill="FFFFFF"/>
        </w:rPr>
      </w:pPr>
    </w:p>
    <w:p w14:paraId="0D8F714D" w14:textId="7D0B843E" w:rsidR="001C2287" w:rsidRPr="007F3136" w:rsidRDefault="00000000" w:rsidP="007F3136">
      <w:pPr>
        <w:spacing w:after="0" w:line="400" w:lineRule="exact"/>
        <w:rPr>
          <w:rFonts w:ascii="Times New Roman" w:eastAsia="宋体" w:hAnsi="Times New Roman" w:cs="Times New Roman"/>
          <w:sz w:val="21"/>
          <w:szCs w:val="21"/>
        </w:rPr>
      </w:pPr>
      <w:bookmarkStart w:id="12" w:name="_Hlk209605602"/>
      <w:r>
        <w:rPr>
          <w:rFonts w:ascii="Calibri" w:eastAsia="宋体" w:hAnsi="Calibri" w:cs="Times New Roman" w:hint="eastAsia"/>
          <w:b/>
          <w:sz w:val="21"/>
          <w:szCs w:val="21"/>
        </w:rPr>
        <w:t>注：该附录是期刊所发表论文的组成部分，同样视为作者公开发表的内容。如研究中使用该附录中的内容，</w:t>
      </w:r>
      <w:r>
        <w:rPr>
          <w:rFonts w:ascii="宋体" w:eastAsia="宋体" w:hAnsi="宋体" w:cs="Arial" w:hint="eastAsia"/>
          <w:b/>
          <w:bCs/>
          <w:kern w:val="0"/>
          <w:sz w:val="21"/>
          <w:szCs w:val="21"/>
        </w:rPr>
        <w:t>请务必在研究成果上注明引文和下载附件出处</w:t>
      </w:r>
      <w:r>
        <w:rPr>
          <w:rFonts w:ascii="宋体" w:eastAsia="宋体" w:hAnsi="宋体" w:cs="Arial" w:hint="eastAsia"/>
          <w:kern w:val="0"/>
          <w:sz w:val="21"/>
          <w:szCs w:val="21"/>
        </w:rPr>
        <w:t>。</w:t>
      </w:r>
      <w:bookmarkEnd w:id="12"/>
    </w:p>
    <w:sectPr w:rsidR="001C2287" w:rsidRPr="007F3136">
      <w:footnotePr>
        <w:numFmt w:val="decimalEnclosedCircleChinese"/>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17210" w14:textId="77777777" w:rsidR="0005119D" w:rsidRDefault="0005119D">
      <w:pPr>
        <w:spacing w:line="240" w:lineRule="auto"/>
      </w:pPr>
      <w:r>
        <w:separator/>
      </w:r>
    </w:p>
  </w:endnote>
  <w:endnote w:type="continuationSeparator" w:id="0">
    <w:p w14:paraId="6CACF196" w14:textId="77777777" w:rsidR="0005119D" w:rsidRDefault="000511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C4692" w14:textId="77777777" w:rsidR="0005119D" w:rsidRDefault="0005119D">
      <w:pPr>
        <w:spacing w:after="0"/>
      </w:pPr>
      <w:r>
        <w:separator/>
      </w:r>
    </w:p>
  </w:footnote>
  <w:footnote w:type="continuationSeparator" w:id="0">
    <w:p w14:paraId="486BFBAF" w14:textId="77777777" w:rsidR="0005119D" w:rsidRDefault="0005119D">
      <w:pPr>
        <w:spacing w:after="0"/>
      </w:pPr>
      <w:r>
        <w:continuationSeparator/>
      </w:r>
    </w:p>
  </w:footnote>
  <w:footnote w:id="1">
    <w:p w14:paraId="4F355E43" w14:textId="1ACAF38D" w:rsidR="001C2287" w:rsidRDefault="00000000">
      <w:pPr>
        <w:pStyle w:val="a4"/>
        <w:spacing w:after="0" w:line="240" w:lineRule="auto"/>
        <w:ind w:firstLineChars="200" w:firstLine="360"/>
        <w:rPr>
          <w:rFonts w:ascii="楷体" w:eastAsia="楷体" w:hAnsi="楷体" w:cs="楷体" w:hint="eastAsia"/>
        </w:rPr>
      </w:pPr>
      <w:r>
        <w:rPr>
          <w:rStyle w:val="a7"/>
          <w:rFonts w:ascii="楷体" w:eastAsia="楷体" w:hAnsi="楷体" w:cs="楷体" w:hint="eastAsia"/>
          <w:vertAlign w:val="baseline"/>
        </w:rPr>
        <w:footnoteRef/>
      </w:r>
      <w:r>
        <w:rPr>
          <w:rFonts w:ascii="楷体" w:eastAsia="楷体" w:hAnsi="楷体" w:cs="楷体" w:hint="eastAsia"/>
        </w:rPr>
        <w:t xml:space="preserve"> 本文还对“繁简分流”改革后的第</w:t>
      </w:r>
      <w:r>
        <w:rPr>
          <w:rFonts w:ascii="Times New Roman" w:eastAsia="楷体" w:hAnsi="Times New Roman" w:cs="Times New Roman"/>
        </w:rPr>
        <w:t>1</w:t>
      </w:r>
      <w:r>
        <w:rPr>
          <w:rFonts w:ascii="楷体" w:eastAsia="楷体" w:hAnsi="楷体" w:cs="楷体" w:hint="eastAsia"/>
        </w:rPr>
        <w:t>期（</w:t>
      </w:r>
      <w:r>
        <w:rPr>
          <w:rFonts w:ascii="Times New Roman" w:eastAsia="楷体" w:hAnsi="Times New Roman" w:cs="Times New Roman" w:hint="eastAsia"/>
        </w:rPr>
        <w:t>aft1</w:t>
      </w:r>
      <w:r>
        <w:rPr>
          <w:rFonts w:ascii="楷体" w:eastAsia="楷体" w:hAnsi="楷体" w:cs="楷体" w:hint="eastAsia"/>
        </w:rPr>
        <w:t>）和第二期（</w:t>
      </w:r>
      <w:r>
        <w:rPr>
          <w:rFonts w:ascii="Times New Roman" w:eastAsia="楷体" w:hAnsi="Times New Roman" w:cs="Times New Roman" w:hint="eastAsia"/>
        </w:rPr>
        <w:t>aft</w:t>
      </w:r>
      <w:r w:rsidR="00863E47">
        <w:rPr>
          <w:rFonts w:ascii="Times New Roman" w:eastAsia="楷体" w:hAnsi="Times New Roman" w:cs="Times New Roman" w:hint="eastAsia"/>
        </w:rPr>
        <w:t>2</w:t>
      </w:r>
      <w:r>
        <w:rPr>
          <w:rFonts w:ascii="楷体" w:eastAsia="楷体" w:hAnsi="楷体" w:cs="楷体" w:hint="eastAsia"/>
        </w:rPr>
        <w:t>）进行了平行趋势假设敏感性检验，结果均表明，当存在一定偏差时，平行趋势仍然成立，即平行趋势敏感性检验通过。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B4CE01"/>
    <w:multiLevelType w:val="singleLevel"/>
    <w:tmpl w:val="F5B4CE01"/>
    <w:lvl w:ilvl="0">
      <w:start w:val="1"/>
      <w:numFmt w:val="decimal"/>
      <w:suff w:val="space"/>
      <w:lvlText w:val="%1."/>
      <w:lvlJc w:val="left"/>
    </w:lvl>
  </w:abstractNum>
  <w:num w:numId="1" w16cid:durableId="101731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2287"/>
    <w:rsid w:val="0003690D"/>
    <w:rsid w:val="0005119D"/>
    <w:rsid w:val="000B4AF8"/>
    <w:rsid w:val="000D688E"/>
    <w:rsid w:val="001039D3"/>
    <w:rsid w:val="00113683"/>
    <w:rsid w:val="001C2287"/>
    <w:rsid w:val="00306A44"/>
    <w:rsid w:val="0039560A"/>
    <w:rsid w:val="00597CD1"/>
    <w:rsid w:val="005C5349"/>
    <w:rsid w:val="005E67E4"/>
    <w:rsid w:val="00792B67"/>
    <w:rsid w:val="007F3136"/>
    <w:rsid w:val="008255F6"/>
    <w:rsid w:val="00863E47"/>
    <w:rsid w:val="00950A88"/>
    <w:rsid w:val="00993A30"/>
    <w:rsid w:val="009E12C6"/>
    <w:rsid w:val="00A14BF1"/>
    <w:rsid w:val="00B73CFB"/>
    <w:rsid w:val="00BA3E73"/>
    <w:rsid w:val="00C068B9"/>
    <w:rsid w:val="00C50445"/>
    <w:rsid w:val="00C96A0C"/>
    <w:rsid w:val="00CA4C11"/>
    <w:rsid w:val="00CF04C2"/>
    <w:rsid w:val="00D22C21"/>
    <w:rsid w:val="00DA0447"/>
    <w:rsid w:val="00DE75BF"/>
    <w:rsid w:val="00E0072D"/>
    <w:rsid w:val="0113214D"/>
    <w:rsid w:val="01AF47DB"/>
    <w:rsid w:val="036B205F"/>
    <w:rsid w:val="03CA152B"/>
    <w:rsid w:val="03E72E70"/>
    <w:rsid w:val="040C24ED"/>
    <w:rsid w:val="06512307"/>
    <w:rsid w:val="06994D26"/>
    <w:rsid w:val="0A944B5A"/>
    <w:rsid w:val="0BC6177E"/>
    <w:rsid w:val="0BE1231A"/>
    <w:rsid w:val="0D1661C9"/>
    <w:rsid w:val="0D304C42"/>
    <w:rsid w:val="13736902"/>
    <w:rsid w:val="13A56E3D"/>
    <w:rsid w:val="13AE6BBC"/>
    <w:rsid w:val="15CB6769"/>
    <w:rsid w:val="162419F3"/>
    <w:rsid w:val="168E3310"/>
    <w:rsid w:val="176802A4"/>
    <w:rsid w:val="18C76B9F"/>
    <w:rsid w:val="192842FA"/>
    <w:rsid w:val="19484D59"/>
    <w:rsid w:val="19F51A8E"/>
    <w:rsid w:val="19F636A6"/>
    <w:rsid w:val="1A2803F1"/>
    <w:rsid w:val="1A6A1D26"/>
    <w:rsid w:val="1A971EC1"/>
    <w:rsid w:val="1C126AA7"/>
    <w:rsid w:val="1D915055"/>
    <w:rsid w:val="1E3D78C8"/>
    <w:rsid w:val="1F402BE2"/>
    <w:rsid w:val="1FAD5978"/>
    <w:rsid w:val="208C71C2"/>
    <w:rsid w:val="20E46105"/>
    <w:rsid w:val="21537F55"/>
    <w:rsid w:val="24D36036"/>
    <w:rsid w:val="25C3043D"/>
    <w:rsid w:val="26DD3505"/>
    <w:rsid w:val="2806657C"/>
    <w:rsid w:val="28B413E5"/>
    <w:rsid w:val="28DA362C"/>
    <w:rsid w:val="2935117F"/>
    <w:rsid w:val="2A1D3646"/>
    <w:rsid w:val="2AA12FFC"/>
    <w:rsid w:val="2BA243B8"/>
    <w:rsid w:val="2FC32E8F"/>
    <w:rsid w:val="31D43FC2"/>
    <w:rsid w:val="320B22CA"/>
    <w:rsid w:val="33F756E0"/>
    <w:rsid w:val="347177D3"/>
    <w:rsid w:val="35273333"/>
    <w:rsid w:val="35B50376"/>
    <w:rsid w:val="36584682"/>
    <w:rsid w:val="367E4B87"/>
    <w:rsid w:val="379079E8"/>
    <w:rsid w:val="3A644E95"/>
    <w:rsid w:val="3B954C0A"/>
    <w:rsid w:val="3C91036B"/>
    <w:rsid w:val="3DAF0454"/>
    <w:rsid w:val="3DBD5A06"/>
    <w:rsid w:val="3DD76007"/>
    <w:rsid w:val="4095603C"/>
    <w:rsid w:val="42A5039C"/>
    <w:rsid w:val="440B338D"/>
    <w:rsid w:val="47330C73"/>
    <w:rsid w:val="474F1BEF"/>
    <w:rsid w:val="4C9F033F"/>
    <w:rsid w:val="4DA66F78"/>
    <w:rsid w:val="4F310D57"/>
    <w:rsid w:val="4FCB43CC"/>
    <w:rsid w:val="4FED258B"/>
    <w:rsid w:val="5048183A"/>
    <w:rsid w:val="511A548A"/>
    <w:rsid w:val="53BE29A8"/>
    <w:rsid w:val="54E01203"/>
    <w:rsid w:val="54ED50E9"/>
    <w:rsid w:val="55F946B5"/>
    <w:rsid w:val="563E514C"/>
    <w:rsid w:val="573241CF"/>
    <w:rsid w:val="58203BA0"/>
    <w:rsid w:val="589F0E10"/>
    <w:rsid w:val="59580C5C"/>
    <w:rsid w:val="59D03484"/>
    <w:rsid w:val="5ADA32D0"/>
    <w:rsid w:val="5BE163EF"/>
    <w:rsid w:val="5CC825C3"/>
    <w:rsid w:val="5D13356C"/>
    <w:rsid w:val="5D35760E"/>
    <w:rsid w:val="5E616904"/>
    <w:rsid w:val="610D4473"/>
    <w:rsid w:val="62E24140"/>
    <w:rsid w:val="6337352C"/>
    <w:rsid w:val="6358133F"/>
    <w:rsid w:val="64202AB1"/>
    <w:rsid w:val="643D5828"/>
    <w:rsid w:val="65804FE1"/>
    <w:rsid w:val="65B934DD"/>
    <w:rsid w:val="65FC376A"/>
    <w:rsid w:val="67046794"/>
    <w:rsid w:val="68F4232A"/>
    <w:rsid w:val="6971341F"/>
    <w:rsid w:val="6F6E5A54"/>
    <w:rsid w:val="7053227B"/>
    <w:rsid w:val="70E51FE0"/>
    <w:rsid w:val="71256F86"/>
    <w:rsid w:val="71AC6F26"/>
    <w:rsid w:val="73002213"/>
    <w:rsid w:val="736363FA"/>
    <w:rsid w:val="74277276"/>
    <w:rsid w:val="75140FFE"/>
    <w:rsid w:val="76FA2392"/>
    <w:rsid w:val="78035FA2"/>
    <w:rsid w:val="78F15D18"/>
    <w:rsid w:val="79054715"/>
    <w:rsid w:val="7A127889"/>
    <w:rsid w:val="7C5B2712"/>
    <w:rsid w:val="7CCD1FF7"/>
    <w:rsid w:val="7D746184"/>
    <w:rsid w:val="7F143433"/>
    <w:rsid w:val="7FA10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FF1D56"/>
  <w15:docId w15:val="{45E2544B-D95A-401B-8EEF-C85D2084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uiPriority="99" w:unhideWhenUsed="1" w:qFormat="1"/>
    <w:lsdException w:name="caption" w:uiPriority="35" w:unhideWhenUsed="1" w:qFormat="1"/>
    <w:lsdException w:name="footnote reference" w:semiHidden="1" w:uiPriority="99"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78" w:lineRule="auto"/>
    </w:pPr>
    <w:rPr>
      <w:kern w:val="2"/>
      <w:sz w:val="22"/>
      <w:szCs w:val="24"/>
      <w14:ligatures w14:val="standardContextual"/>
    </w:rPr>
  </w:style>
  <w:style w:type="paragraph" w:styleId="1">
    <w:name w:val="heading 1"/>
    <w:basedOn w:val="a"/>
    <w:next w:val="a"/>
    <w:uiPriority w:val="9"/>
    <w:qFormat/>
    <w:pPr>
      <w:keepNext/>
      <w:keepLines/>
      <w:spacing w:before="480" w:after="80"/>
      <w:outlineLvl w:val="0"/>
    </w:pPr>
    <w:rPr>
      <w:rFonts w:asciiTheme="majorHAnsi" w:eastAsiaTheme="majorEastAsia" w:hAnsiTheme="majorHAnsi" w:cstheme="majorBidi"/>
      <w:color w:val="2D53A0" w:themeColor="accent1" w:themeShade="BF"/>
      <w:sz w:val="48"/>
      <w:szCs w:val="48"/>
    </w:rPr>
  </w:style>
  <w:style w:type="paragraph" w:styleId="2">
    <w:name w:val="heading 2"/>
    <w:basedOn w:val="a"/>
    <w:next w:val="a"/>
    <w:uiPriority w:val="9"/>
    <w:unhideWhenUsed/>
    <w:qFormat/>
    <w:pPr>
      <w:keepNext/>
      <w:keepLines/>
      <w:spacing w:before="160" w:after="80"/>
      <w:outlineLvl w:val="1"/>
    </w:pPr>
    <w:rPr>
      <w:rFonts w:asciiTheme="majorHAnsi" w:eastAsiaTheme="majorEastAsia" w:hAnsiTheme="majorHAnsi" w:cstheme="majorBidi"/>
      <w:color w:val="2D53A0" w:themeColor="accent1" w:themeShade="BF"/>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spacing w:line="360" w:lineRule="auto"/>
      <w:ind w:firstLineChars="200" w:firstLine="480"/>
    </w:pPr>
    <w:rPr>
      <w:rFonts w:ascii="Times New Roman" w:eastAsia="仿宋" w:hAnsi="Times New Roman" w:cstheme="majorBidi"/>
      <w:szCs w:val="20"/>
    </w:rPr>
  </w:style>
  <w:style w:type="paragraph" w:styleId="a4">
    <w:name w:val="footnote text"/>
    <w:basedOn w:val="a"/>
    <w:uiPriority w:val="99"/>
    <w:semiHidden/>
    <w:unhideWhenUsed/>
    <w:qFormat/>
    <w:pPr>
      <w:snapToGrid w:val="0"/>
    </w:pPr>
    <w:rPr>
      <w:sz w:val="18"/>
      <w:szCs w:val="18"/>
    </w:rPr>
  </w:style>
  <w:style w:type="table" w:styleId="a5">
    <w:name w:val="Table Grid"/>
    <w:basedOn w:val="a1"/>
    <w:uiPriority w:val="39"/>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Emphasis"/>
    <w:basedOn w:val="a0"/>
    <w:qFormat/>
    <w:rPr>
      <w:i/>
    </w:rPr>
  </w:style>
  <w:style w:type="character" w:styleId="a7">
    <w:name w:val="footnote reference"/>
    <w:basedOn w:val="a0"/>
    <w:uiPriority w:val="99"/>
    <w:semiHidden/>
    <w:unhideWhenUsed/>
    <w:qFormat/>
    <w:rPr>
      <w:vertAlign w:val="superscript"/>
    </w:rPr>
  </w:style>
  <w:style w:type="paragraph" w:styleId="a8">
    <w:name w:val="List Paragraph"/>
    <w:basedOn w:val="a"/>
    <w:uiPriority w:val="34"/>
    <w:qFormat/>
    <w:pPr>
      <w:ind w:left="720"/>
      <w:contextualSpacing/>
    </w:pPr>
  </w:style>
  <w:style w:type="paragraph" w:styleId="a9">
    <w:name w:val="header"/>
    <w:basedOn w:val="a"/>
    <w:link w:val="aa"/>
    <w:rsid w:val="00792B67"/>
    <w:pPr>
      <w:tabs>
        <w:tab w:val="center" w:pos="4153"/>
        <w:tab w:val="right" w:pos="8306"/>
      </w:tabs>
      <w:snapToGrid w:val="0"/>
      <w:spacing w:line="240" w:lineRule="auto"/>
      <w:jc w:val="center"/>
    </w:pPr>
    <w:rPr>
      <w:sz w:val="18"/>
      <w:szCs w:val="18"/>
    </w:rPr>
  </w:style>
  <w:style w:type="character" w:customStyle="1" w:styleId="aa">
    <w:name w:val="页眉 字符"/>
    <w:basedOn w:val="a0"/>
    <w:link w:val="a9"/>
    <w:rsid w:val="00792B67"/>
    <w:rPr>
      <w:kern w:val="2"/>
      <w:sz w:val="18"/>
      <w:szCs w:val="18"/>
      <w14:ligatures w14:val="standardContextual"/>
    </w:rPr>
  </w:style>
  <w:style w:type="paragraph" w:styleId="ab">
    <w:name w:val="footer"/>
    <w:basedOn w:val="a"/>
    <w:link w:val="ac"/>
    <w:rsid w:val="00792B67"/>
    <w:pPr>
      <w:tabs>
        <w:tab w:val="center" w:pos="4153"/>
        <w:tab w:val="right" w:pos="8306"/>
      </w:tabs>
      <w:snapToGrid w:val="0"/>
      <w:spacing w:line="240" w:lineRule="auto"/>
    </w:pPr>
    <w:rPr>
      <w:sz w:val="18"/>
      <w:szCs w:val="18"/>
    </w:rPr>
  </w:style>
  <w:style w:type="character" w:customStyle="1" w:styleId="ac">
    <w:name w:val="页脚 字符"/>
    <w:basedOn w:val="a0"/>
    <w:link w:val="ab"/>
    <w:rsid w:val="00792B67"/>
    <w:rPr>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1838</Words>
  <Characters>2206</Characters>
  <Application>Microsoft Office Word</Application>
  <DocSecurity>0</DocSecurity>
  <Lines>129</Lines>
  <Paragraphs>126</Paragraphs>
  <ScaleCrop>false</ScaleCrop>
  <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41312</dc:creator>
  <cp:lastModifiedBy>曾皓</cp:lastModifiedBy>
  <cp:revision>11</cp:revision>
  <dcterms:created xsi:type="dcterms:W3CDTF">2024-07-18T01:01:00Z</dcterms:created>
  <dcterms:modified xsi:type="dcterms:W3CDTF">2026-01-20T09:05:00Z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DF469D20726842739ED2B5333349DE8E_12</vt:lpwstr>
  </property>
  <property fmtid="{D5CDD505-2E9C-101B-9397-08002B2CF9AE}" pid="4" name="KSOTemplateDocerSaveRecord">
    <vt:lpwstr>eyJoZGlkIjoiMzEwNTM5NzYwMDRjMzkwZTVkZjY2ODkwMGIxNGU0OTUiLCJ1c2VySWQiOiI0NDA3OTA0MzgifQ==</vt:lpwstr>
  </property>
</Properties>
</file>