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190A5">
      <w:pPr>
        <w:rPr>
          <w:rFonts w:ascii="Calibri" w:hAnsi="Calibri" w:cs="Times New Roman"/>
        </w:rPr>
      </w:pPr>
      <w:bookmarkStart w:id="0" w:name="_Hlk51264469"/>
      <w:r>
        <w:rPr>
          <w:rFonts w:hint="eastAsia" w:ascii="Calibri" w:hAnsi="Calibri" w:cs="Times New Roman"/>
          <w:b/>
          <w:sz w:val="44"/>
          <w:szCs w:val="44"/>
        </w:rPr>
        <w:t>附 录</w:t>
      </w:r>
    </w:p>
    <w:p w14:paraId="5516D16C">
      <w:pPr>
        <w:pStyle w:val="3"/>
        <w:bidi w:val="0"/>
        <w:jc w:val="center"/>
        <w:rPr>
          <w:rFonts w:hint="eastAsia" w:ascii="微软雅黑" w:hAnsi="微软雅黑" w:eastAsia="微软雅黑" w:cs="微软雅黑"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auto"/>
          <w:sz w:val="32"/>
          <w:szCs w:val="32"/>
        </w:rPr>
        <w:t>正文未报告部分</w:t>
      </w:r>
    </w:p>
    <w:p w14:paraId="60C4112F">
      <w:pPr>
        <w:jc w:val="both"/>
        <w:rPr>
          <w:rFonts w:hint="default" w:ascii="仿宋" w:hAnsi="仿宋" w:eastAsia="仿宋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  <w:t>一、典型事实</w:t>
      </w:r>
    </w:p>
    <w:bookmarkEnd w:id="0"/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0"/>
      </w:tblGrid>
      <w:tr w14:paraId="19D14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4" w:hRule="atLeast"/>
          <w:jc w:val="center"/>
        </w:trPr>
        <w:tc>
          <w:tcPr>
            <w:tcW w:w="11620" w:type="dxa"/>
            <w:tcBorders>
              <w:top w:val="nil"/>
              <w:left w:val="nil"/>
              <w:bottom w:val="nil"/>
              <w:right w:val="nil"/>
            </w:tcBorders>
          </w:tcPr>
          <w:p w14:paraId="3F7E638F">
            <w:pPr>
              <w:jc w:val="center"/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7366635" cy="2545080"/>
                  <wp:effectExtent l="0" t="0" r="5715" b="7620"/>
                  <wp:docPr id="1" name="图片 1" descr="附1_代表性年份地区间技术转移热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附1_代表性年份地区间技术转移热图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6635" cy="2545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69CB1C">
      <w:pPr>
        <w:jc w:val="center"/>
        <w:rPr>
          <w:rFonts w:hint="eastAsia" w:ascii="仿宋" w:hAnsi="仿宋" w:eastAsia="仿宋" w:cs="Times New Roman"/>
          <w:b/>
          <w:kern w:val="0"/>
          <w:sz w:val="28"/>
          <w:szCs w:val="28"/>
        </w:rPr>
      </w:pPr>
    </w:p>
    <w:p w14:paraId="6AE4298C">
      <w:pPr>
        <w:jc w:val="center"/>
        <w:rPr>
          <w:rFonts w:hint="eastAsia" w:ascii="仿宋" w:hAnsi="仿宋" w:eastAsia="仿宋" w:cs="Times New Roman"/>
          <w:b/>
          <w:kern w:val="0"/>
          <w:sz w:val="28"/>
          <w:szCs w:val="28"/>
        </w:rPr>
      </w:pPr>
    </w:p>
    <w:p w14:paraId="5382C5B3">
      <w:pPr>
        <w:jc w:val="center"/>
        <w:rPr>
          <w:rFonts w:hint="eastAsia" w:ascii="仿宋" w:hAnsi="仿宋" w:eastAsia="仿宋" w:cs="Times New Roman"/>
          <w:b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b/>
          <w:kern w:val="0"/>
          <w:sz w:val="28"/>
          <w:szCs w:val="28"/>
        </w:rPr>
        <w:t>附</w:t>
      </w:r>
      <w:r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  <w:t>图</w:t>
      </w:r>
      <w:r>
        <w:rPr>
          <w:rFonts w:hint="eastAsia" w:ascii="仿宋" w:hAnsi="仿宋" w:eastAsia="仿宋" w:cs="Times New Roman"/>
          <w:b/>
          <w:kern w:val="0"/>
          <w:sz w:val="28"/>
          <w:szCs w:val="28"/>
        </w:rPr>
        <w:t>1</w:t>
      </w:r>
      <w:r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/>
          <w:kern w:val="0"/>
          <w:sz w:val="28"/>
          <w:szCs w:val="28"/>
        </w:rPr>
        <w:t>代表性年份地区间技术转移热图</w:t>
      </w:r>
    </w:p>
    <w:p w14:paraId="25237432">
      <w:pPr>
        <w:jc w:val="both"/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  <w:drawing>
          <wp:inline distT="0" distB="0" distL="114300" distR="114300">
            <wp:extent cx="5417820" cy="2709545"/>
            <wp:effectExtent l="0" t="0" r="11430" b="14605"/>
            <wp:docPr id="2" name="图片 2" descr="附2_2000年至2022年高校转让新技术领域专利数量及占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附2_2000年至2022年高校转让新技术领域专利数量及占比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17820" cy="270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CDDBF">
      <w:pPr>
        <w:jc w:val="center"/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  <w:t>附图2 2000年至2022年高校转让新技术领域</w:t>
      </w:r>
      <w:bookmarkStart w:id="3" w:name="_GoBack"/>
      <w:bookmarkEnd w:id="3"/>
      <w:r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  <w:t>专利数量及占比</w:t>
      </w:r>
    </w:p>
    <w:p w14:paraId="07BFE5D2">
      <w:pPr>
        <w:jc w:val="both"/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</w:pPr>
    </w:p>
    <w:p w14:paraId="23F26430">
      <w:pPr>
        <w:jc w:val="both"/>
        <w:rPr>
          <w:rFonts w:ascii="仿宋" w:hAnsi="仿宋" w:eastAsia="仿宋" w:cs="Times New Roman"/>
          <w:b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Times New Roman"/>
          <w:b/>
          <w:kern w:val="0"/>
          <w:sz w:val="28"/>
          <w:szCs w:val="28"/>
        </w:rPr>
        <w:t>稳健性检验</w:t>
      </w:r>
    </w:p>
    <w:p w14:paraId="6BCDCE52">
      <w:pPr>
        <w:ind w:firstLine="420"/>
        <w:rPr>
          <w:rFonts w:hint="eastAsia"/>
          <w:color w:val="auto"/>
          <w:highlight w:val="none"/>
        </w:rPr>
      </w:pPr>
    </w:p>
    <w:p w14:paraId="3F130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0" w:firstLineChars="0"/>
        <w:jc w:val="center"/>
        <w:textAlignment w:val="auto"/>
        <w:rPr>
          <w:color w:val="auto"/>
          <w:highlight w:val="none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附</w:t>
      </w:r>
      <w:r>
        <w:rPr>
          <w:rFonts w:hint="eastAsia" w:ascii="Times New Roman" w:hAnsi="Times New Roman" w:cs="Times New Roman"/>
          <w:color w:val="auto"/>
          <w:highlight w:val="none"/>
        </w:rPr>
        <w:t>表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highlight w:val="none"/>
        </w:rPr>
        <w:t xml:space="preserve"> 稳健性</w:t>
      </w:r>
      <w:r>
        <w:rPr>
          <w:rFonts w:hint="eastAsia"/>
          <w:color w:val="auto"/>
          <w:highlight w:val="none"/>
        </w:rPr>
        <w:t>检验结果</w:t>
      </w:r>
    </w:p>
    <w:tbl>
      <w:tblPr>
        <w:tblStyle w:val="15"/>
        <w:tblW w:w="72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125"/>
        <w:gridCol w:w="1080"/>
        <w:gridCol w:w="1080"/>
        <w:gridCol w:w="1131"/>
        <w:gridCol w:w="1131"/>
      </w:tblGrid>
      <w:tr w14:paraId="605FB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421F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变量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87B8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(1)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FC25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(2)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8461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(3)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79C8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(4)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2CD4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(5)</w:t>
            </w:r>
          </w:p>
        </w:tc>
      </w:tr>
      <w:tr w14:paraId="54059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04" w:type="dxa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D18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</w:rPr>
              <w:t>Pt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85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-0.2</w:t>
            </w: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22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***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67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F2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-0.03</w:t>
            </w: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***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73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-0.003***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8A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color w:val="auto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-0.029**</w:t>
            </w:r>
          </w:p>
        </w:tc>
      </w:tr>
      <w:tr w14:paraId="4214E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04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B4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  <w:lang w:bidi="a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27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(-1</w:t>
            </w: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.</w:t>
            </w: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043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D4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8D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(-</w:t>
            </w: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.</w:t>
            </w: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204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D6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(-</w:t>
            </w: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9.184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8D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color w:val="auto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(-2.292)</w:t>
            </w:r>
          </w:p>
        </w:tc>
      </w:tr>
      <w:tr w14:paraId="19842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368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</w:rPr>
              <w:t>Pd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E6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5A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-0.</w:t>
            </w: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207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05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FE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7E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</w:tr>
      <w:tr w14:paraId="3EED12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04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74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42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17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(-11.</w:t>
            </w: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960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10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DC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15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</w:tr>
      <w:tr w14:paraId="7FD07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E8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控制变量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9D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9F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71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1F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EA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</w:tr>
      <w:tr w14:paraId="7077F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59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省份-年份固定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07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CD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80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BF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否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0A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否</w:t>
            </w:r>
          </w:p>
        </w:tc>
      </w:tr>
      <w:tr w14:paraId="1BE47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92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城市对固定效应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7D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B6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8E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BC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F8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</w:tr>
      <w:tr w14:paraId="151AF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EA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年份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固定效应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63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C9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D3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C8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A1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</w:tr>
      <w:tr w14:paraId="5B5D7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C2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样本数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03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55420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DC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55420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40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55420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86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55420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D8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21504</w:t>
            </w:r>
          </w:p>
        </w:tc>
      </w:tr>
      <w:tr w14:paraId="6521B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1E4E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</w:rPr>
              <w:t>R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vertAlign w:val="superscript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0A85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color w:val="auto"/>
                <w:highlight w:val="none"/>
                <w:lang w:bidi="ar"/>
              </w:rPr>
              <w:t>0.808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F874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color w:val="auto"/>
                <w:highlight w:val="none"/>
                <w:lang w:bidi="ar"/>
              </w:rPr>
              <w:t>0.891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3B48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color w:val="auto"/>
                <w:highlight w:val="none"/>
                <w:lang w:bidi="ar"/>
              </w:rPr>
              <w:t>0.891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7636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0.0125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D434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 xml:space="preserve">0.850 </w:t>
            </w:r>
          </w:p>
        </w:tc>
      </w:tr>
    </w:tbl>
    <w:p w14:paraId="4EAFF61D">
      <w:pPr>
        <w:jc w:val="center"/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</w:pPr>
    </w:p>
    <w:p w14:paraId="48AA7E35">
      <w:pPr>
        <w:numPr>
          <w:ilvl w:val="0"/>
          <w:numId w:val="1"/>
        </w:numPr>
        <w:jc w:val="both"/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  <w:t>内生性处理</w:t>
      </w:r>
    </w:p>
    <w:p w14:paraId="2BFD5E8E">
      <w:pPr>
        <w:numPr>
          <w:numId w:val="0"/>
        </w:numPr>
        <w:jc w:val="both"/>
        <w:rPr>
          <w:rFonts w:hint="eastAsia" w:ascii="仿宋" w:hAnsi="仿宋" w:eastAsia="仿宋" w:cs="Times New Roman"/>
          <w:b/>
          <w:kern w:val="0"/>
          <w:sz w:val="28"/>
          <w:szCs w:val="28"/>
          <w:lang w:val="en-US" w:eastAsia="zh-CN"/>
        </w:rPr>
      </w:pPr>
    </w:p>
    <w:p w14:paraId="0FFC9700">
      <w:pPr>
        <w:ind w:firstLine="420"/>
        <w:jc w:val="center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附</w:t>
      </w:r>
      <w:r>
        <w:rPr>
          <w:rFonts w:hint="default" w:ascii="Times New Roman" w:hAnsi="Times New Roman" w:cs="Times New Roman"/>
          <w:color w:val="auto"/>
          <w:highlight w:val="none"/>
        </w:rPr>
        <w:t>表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 内生性处理</w:t>
      </w:r>
      <w:r>
        <w:rPr>
          <w:rFonts w:hint="eastAsia"/>
          <w:color w:val="auto"/>
          <w:highlight w:val="none"/>
        </w:rPr>
        <w:t>结果</w:t>
      </w:r>
    </w:p>
    <w:tbl>
      <w:tblPr>
        <w:tblStyle w:val="15"/>
        <w:tblW w:w="2893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9"/>
        <w:gridCol w:w="1348"/>
        <w:gridCol w:w="1199"/>
      </w:tblGrid>
      <w:tr w14:paraId="52713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2350" w:type="pct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39A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bookmarkStart w:id="1" w:name="OLE_LINK10"/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变量</w:t>
            </w:r>
          </w:p>
        </w:tc>
        <w:tc>
          <w:tcPr>
            <w:tcW w:w="1402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1CB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(1)</w:t>
            </w:r>
          </w:p>
        </w:tc>
        <w:tc>
          <w:tcPr>
            <w:tcW w:w="1247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5C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(2)</w:t>
            </w:r>
          </w:p>
        </w:tc>
      </w:tr>
      <w:tr w14:paraId="28D43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2350" w:type="pct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BC5B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bookmarkStart w:id="2" w:name="OLE_LINK8"/>
          </w:p>
        </w:tc>
        <w:tc>
          <w:tcPr>
            <w:tcW w:w="140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C23B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</w:rPr>
              <w:t>Pt</w:t>
            </w:r>
          </w:p>
        </w:tc>
        <w:tc>
          <w:tcPr>
            <w:tcW w:w="124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0A70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</w:rPr>
              <w:t>Dp</w:t>
            </w:r>
          </w:p>
        </w:tc>
      </w:tr>
      <w:bookmarkEnd w:id="2"/>
      <w:tr w14:paraId="452AD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350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873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</w:rPr>
              <w:t>Pt</w:t>
            </w:r>
          </w:p>
        </w:tc>
        <w:tc>
          <w:tcPr>
            <w:tcW w:w="1402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10AE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  <w:tc>
          <w:tcPr>
            <w:tcW w:w="1247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A79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-0.031***</w:t>
            </w:r>
          </w:p>
          <w:p w14:paraId="7D3B4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(</w:t>
            </w: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6.063)</w:t>
            </w:r>
          </w:p>
        </w:tc>
      </w:tr>
      <w:tr w14:paraId="3AA0A6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23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25A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</w:rPr>
              <w:t>IV1</w:t>
            </w:r>
          </w:p>
        </w:tc>
        <w:tc>
          <w:tcPr>
            <w:tcW w:w="14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0B46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0.043***</w:t>
            </w:r>
          </w:p>
          <w:p w14:paraId="094E4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(77.855)</w:t>
            </w:r>
          </w:p>
        </w:tc>
        <w:tc>
          <w:tcPr>
            <w:tcW w:w="124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6A4E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</w:p>
        </w:tc>
      </w:tr>
      <w:tr w14:paraId="41B1D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23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012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</w:rPr>
              <w:t>K-P LM statistic</w:t>
            </w:r>
          </w:p>
        </w:tc>
        <w:tc>
          <w:tcPr>
            <w:tcW w:w="264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690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1368.308***</w:t>
            </w:r>
          </w:p>
          <w:p w14:paraId="0794C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[0.0000]</w:t>
            </w:r>
          </w:p>
        </w:tc>
      </w:tr>
      <w:tr w14:paraId="6B436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23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EBC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highlight w:val="none"/>
              </w:rPr>
              <w:t>K-P Wald F statistic</w:t>
            </w:r>
          </w:p>
        </w:tc>
        <w:tc>
          <w:tcPr>
            <w:tcW w:w="264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435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7160.027</w:t>
            </w:r>
          </w:p>
          <w:p w14:paraId="5290C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(16.38)</w:t>
            </w:r>
          </w:p>
        </w:tc>
      </w:tr>
      <w:tr w14:paraId="76958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3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9AF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控制变量</w:t>
            </w:r>
          </w:p>
        </w:tc>
        <w:tc>
          <w:tcPr>
            <w:tcW w:w="14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BEC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24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600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</w:tr>
      <w:tr w14:paraId="235C7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23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932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</w:rPr>
              <w:t>城市对固定效应</w:t>
            </w:r>
          </w:p>
        </w:tc>
        <w:tc>
          <w:tcPr>
            <w:tcW w:w="14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DC0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24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D66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</w:tr>
      <w:tr w14:paraId="795806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63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highlight w:val="none"/>
                <w:lang w:val="en-US" w:eastAsia="zh-CN" w:bidi="ar"/>
              </w:rPr>
              <w:t>年份</w:t>
            </w: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固定效应</w:t>
            </w:r>
          </w:p>
        </w:tc>
        <w:tc>
          <w:tcPr>
            <w:tcW w:w="1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71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  <w:tc>
          <w:tcPr>
            <w:tcW w:w="1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DA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是</w:t>
            </w:r>
          </w:p>
        </w:tc>
      </w:tr>
      <w:tr w14:paraId="6672D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3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0F5E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样本数</w:t>
            </w:r>
          </w:p>
        </w:tc>
        <w:tc>
          <w:tcPr>
            <w:tcW w:w="140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451C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55420</w:t>
            </w:r>
          </w:p>
        </w:tc>
        <w:tc>
          <w:tcPr>
            <w:tcW w:w="124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1130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auto"/>
                <w:highlight w:val="none"/>
                <w:lang w:bidi="ar"/>
              </w:rPr>
              <w:t>55420</w:t>
            </w:r>
          </w:p>
        </w:tc>
      </w:tr>
      <w:bookmarkEnd w:id="1"/>
    </w:tbl>
    <w:p w14:paraId="4B06EA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13D7BF"/>
    <w:multiLevelType w:val="singleLevel"/>
    <w:tmpl w:val="AD13D7B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AA"/>
    <w:rsid w:val="0005780C"/>
    <w:rsid w:val="00153F3B"/>
    <w:rsid w:val="001758E6"/>
    <w:rsid w:val="001C262F"/>
    <w:rsid w:val="001D0985"/>
    <w:rsid w:val="002056E5"/>
    <w:rsid w:val="00272BEF"/>
    <w:rsid w:val="002C1FDB"/>
    <w:rsid w:val="002D47AA"/>
    <w:rsid w:val="00322EE0"/>
    <w:rsid w:val="00333F24"/>
    <w:rsid w:val="003433AF"/>
    <w:rsid w:val="0045545E"/>
    <w:rsid w:val="00480156"/>
    <w:rsid w:val="00486054"/>
    <w:rsid w:val="004C1DCE"/>
    <w:rsid w:val="005131BF"/>
    <w:rsid w:val="00700AE2"/>
    <w:rsid w:val="00727014"/>
    <w:rsid w:val="00864906"/>
    <w:rsid w:val="0088285A"/>
    <w:rsid w:val="008E5290"/>
    <w:rsid w:val="00932FE9"/>
    <w:rsid w:val="00A1344C"/>
    <w:rsid w:val="00AB2E78"/>
    <w:rsid w:val="00B47574"/>
    <w:rsid w:val="00BF60FC"/>
    <w:rsid w:val="00C87D5F"/>
    <w:rsid w:val="00D0522E"/>
    <w:rsid w:val="00D97CD4"/>
    <w:rsid w:val="00E0263A"/>
    <w:rsid w:val="00E65449"/>
    <w:rsid w:val="00F822BB"/>
    <w:rsid w:val="00FB1ED2"/>
    <w:rsid w:val="5AFA1536"/>
    <w:rsid w:val="6604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uiPriority w:val="39"/>
    <w:rPr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rFonts w:ascii="Times New Roman" w:hAnsi="Times New Roman" w:eastAsia="宋体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rFonts w:ascii="Times New Roman" w:hAnsi="Times New Roman" w:eastAsia="宋体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rFonts w:ascii="Times New Roman" w:hAnsi="Times New Roman" w:eastAsia="宋体"/>
    </w:r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="Times New Roman" w:hAnsi="Times New Roman" w:eastAsia="宋体"/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uiPriority w:val="30"/>
    <w:rPr>
      <w:rFonts w:ascii="Times New Roman" w:hAnsi="Times New Roman" w:eastAsia="宋体"/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218</Words>
  <Characters>455</Characters>
  <Lines>21</Lines>
  <Paragraphs>6</Paragraphs>
  <TotalTime>5</TotalTime>
  <ScaleCrop>false</ScaleCrop>
  <LinksUpToDate>false</LinksUpToDate>
  <CharactersWithSpaces>466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2025-09-23T13:13:00Z</dcterms:created>
  <dc:creator>张帅</dc:creator>
  <cp:lastModifiedBy>Shr16s</cp:lastModifiedBy>
  <dcterms:modified xsi:type="dcterms:W3CDTF">2026-01-28T08:22:22Z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eyJoZGlkIjoiZWUzYTI0ZTRjYWI2OWIxY2M4MDMyZDAyNmZhMTk5ZWIiLCJ1c2VySWQiOiIzMzA0ODAxMTMifQ==</vt:lpwstr>
  </property>
  <property fmtid="{D5CDD505-2E9C-101B-9397-08002B2CF9AE}" pid="3" name="KSOProductBuildVer">
    <vt:lpwstr>2052-12.1.0.24657</vt:lpwstr>
  </property>
  <property fmtid="{D5CDD505-2E9C-101B-9397-08002B2CF9AE}" pid="4" name="ICV">
    <vt:lpwstr>FDF6D8FF6703489EB0E8E42F9286E97D_12</vt:lpwstr>
  </property>
</Properties>
</file>