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05F" w:rsidRPr="00F5405F" w:rsidRDefault="00F5405F" w:rsidP="00F5405F">
      <w:pPr>
        <w:spacing w:line="480" w:lineRule="auto"/>
        <w:jc w:val="center"/>
        <w:rPr>
          <w:rFonts w:ascii="Times New Roman" w:eastAsia="黑体" w:hAnsi="Times New Roman"/>
          <w:b/>
          <w:bCs/>
          <w:sz w:val="24"/>
        </w:rPr>
      </w:pPr>
      <w:r w:rsidRPr="00F5405F">
        <w:rPr>
          <w:rFonts w:ascii="Times New Roman" w:eastAsia="黑体" w:hAnsi="Times New Roman" w:hint="eastAsia"/>
          <w:b/>
          <w:bCs/>
          <w:sz w:val="24"/>
        </w:rPr>
        <w:t>一、政府新质生产力关注关键词词库</w:t>
      </w:r>
      <w:r>
        <w:rPr>
          <w:rFonts w:ascii="Times New Roman" w:eastAsia="黑体" w:hAnsi="Times New Roman" w:hint="eastAsia"/>
          <w:b/>
          <w:bCs/>
          <w:sz w:val="24"/>
        </w:rPr>
        <w:t>具体内容</w:t>
      </w:r>
    </w:p>
    <w:p w:rsidR="00F5405F" w:rsidRPr="00F5405F" w:rsidRDefault="00F5405F" w:rsidP="00F5405F">
      <w:pPr>
        <w:adjustRightInd w:val="0"/>
        <w:snapToGrid w:val="0"/>
        <w:spacing w:line="240" w:lineRule="atLeast"/>
        <w:ind w:firstLineChars="200" w:firstLine="420"/>
        <w:rPr>
          <w:rFonts w:ascii="Times New Roman" w:eastAsia="宋体" w:hAnsi="Times New Roman" w:cs="Times New Roman"/>
        </w:rPr>
      </w:pPr>
      <w:r w:rsidRPr="00F5405F">
        <w:rPr>
          <w:rFonts w:ascii="Times New Roman" w:eastAsia="宋体" w:hAnsi="Times New Roman" w:cs="Times New Roman" w:hint="eastAsia"/>
        </w:rPr>
        <w:t>有关政府新质生产力关注六个维度的选择逻辑已在正文呈现，具体词库</w:t>
      </w:r>
      <w:r>
        <w:rPr>
          <w:rFonts w:ascii="Times New Roman" w:eastAsia="宋体" w:hAnsi="Times New Roman" w:cs="Times New Roman" w:hint="eastAsia"/>
        </w:rPr>
        <w:t>如下表所示。</w:t>
      </w:r>
    </w:p>
    <w:p w:rsidR="00F5405F" w:rsidRPr="00F5405F" w:rsidRDefault="00F5405F" w:rsidP="00F5405F">
      <w:pPr>
        <w:tabs>
          <w:tab w:val="center" w:pos="4150"/>
        </w:tabs>
        <w:adjustRightInd w:val="0"/>
        <w:snapToGrid w:val="0"/>
        <w:ind w:firstLineChars="200" w:firstLine="422"/>
        <w:jc w:val="left"/>
        <w:rPr>
          <w:rFonts w:ascii="黑体" w:eastAsia="黑体" w:hAnsi="黑体"/>
          <w:b/>
          <w:bCs/>
          <w:szCs w:val="21"/>
        </w:rPr>
      </w:pPr>
      <w:r w:rsidRPr="00F5405F">
        <w:rPr>
          <w:rFonts w:ascii="黑体" w:eastAsia="黑体" w:hAnsi="黑体" w:hint="eastAsia"/>
          <w:b/>
          <w:bCs/>
          <w:szCs w:val="21"/>
        </w:rPr>
        <w:t>表</w:t>
      </w:r>
      <w:r w:rsidRPr="00F5405F">
        <w:rPr>
          <w:rFonts w:ascii="黑体" w:eastAsia="黑体" w:hAnsi="黑体"/>
          <w:b/>
          <w:bCs/>
          <w:szCs w:val="21"/>
        </w:rPr>
        <w:t>1</w:t>
      </w:r>
      <w:r>
        <w:rPr>
          <w:rFonts w:ascii="黑体" w:eastAsia="黑体" w:hAnsi="黑体"/>
          <w:b/>
          <w:bCs/>
          <w:szCs w:val="21"/>
        </w:rPr>
        <w:tab/>
      </w:r>
      <w:r w:rsidRPr="00F5405F">
        <w:rPr>
          <w:rFonts w:ascii="黑体" w:eastAsia="黑体" w:hAnsi="黑体" w:hint="eastAsia"/>
          <w:b/>
          <w:bCs/>
          <w:szCs w:val="21"/>
        </w:rPr>
        <w:t>政府新质生产力关注关键词词库</w:t>
      </w:r>
    </w:p>
    <w:tbl>
      <w:tblPr>
        <w:tblStyle w:val="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7720"/>
      </w:tblGrid>
      <w:tr w:rsidR="00F5405F" w:rsidRPr="00F5405F" w:rsidTr="00F5405F">
        <w:trPr>
          <w:trHeight w:val="227"/>
        </w:trPr>
        <w:tc>
          <w:tcPr>
            <w:tcW w:w="353" w:type="pct"/>
            <w:tcBorders>
              <w:top w:val="single" w:sz="12" w:space="0" w:color="auto"/>
              <w:bottom w:val="single" w:sz="4" w:space="0" w:color="auto"/>
            </w:tcBorders>
            <w:vAlign w:val="center"/>
          </w:tcPr>
          <w:p w:rsidR="00F5405F" w:rsidRPr="00F5405F" w:rsidRDefault="00F5405F" w:rsidP="00F5405F">
            <w:pPr>
              <w:adjustRightInd w:val="0"/>
              <w:snapToGrid w:val="0"/>
              <w:spacing w:line="240" w:lineRule="exact"/>
              <w:jc w:val="center"/>
              <w:rPr>
                <w:rFonts w:ascii="宋体" w:eastAsia="宋体" w:hAnsi="宋体"/>
                <w:sz w:val="18"/>
                <w:szCs w:val="18"/>
              </w:rPr>
            </w:pPr>
            <w:r w:rsidRPr="00F5405F">
              <w:rPr>
                <w:rFonts w:ascii="宋体" w:eastAsia="宋体" w:hAnsi="宋体" w:hint="eastAsia"/>
                <w:sz w:val="18"/>
                <w:szCs w:val="18"/>
              </w:rPr>
              <w:t>维度</w:t>
            </w:r>
          </w:p>
        </w:tc>
        <w:tc>
          <w:tcPr>
            <w:tcW w:w="4647" w:type="pct"/>
            <w:tcBorders>
              <w:top w:val="single" w:sz="12" w:space="0" w:color="auto"/>
              <w:bottom w:val="single" w:sz="4" w:space="0" w:color="auto"/>
            </w:tcBorders>
            <w:vAlign w:val="center"/>
          </w:tcPr>
          <w:p w:rsidR="00F5405F" w:rsidRPr="00F5405F" w:rsidRDefault="00F5405F" w:rsidP="00F5405F">
            <w:pPr>
              <w:adjustRightInd w:val="0"/>
              <w:snapToGrid w:val="0"/>
              <w:spacing w:line="240" w:lineRule="exact"/>
              <w:jc w:val="center"/>
              <w:rPr>
                <w:rFonts w:ascii="宋体" w:eastAsia="宋体" w:hAnsi="宋体"/>
                <w:sz w:val="18"/>
                <w:szCs w:val="18"/>
              </w:rPr>
            </w:pPr>
            <w:r w:rsidRPr="00F5405F">
              <w:rPr>
                <w:rFonts w:ascii="宋体" w:eastAsia="宋体" w:hAnsi="宋体" w:hint="eastAsia"/>
                <w:sz w:val="18"/>
                <w:szCs w:val="18"/>
              </w:rPr>
              <w:t>关键词</w:t>
            </w:r>
          </w:p>
        </w:tc>
      </w:tr>
      <w:tr w:rsidR="00F5405F" w:rsidRPr="00F5405F" w:rsidTr="00F5405F">
        <w:trPr>
          <w:trHeight w:val="227"/>
        </w:trPr>
        <w:tc>
          <w:tcPr>
            <w:tcW w:w="353" w:type="pct"/>
            <w:tcBorders>
              <w:top w:val="single" w:sz="4" w:space="0" w:color="auto"/>
            </w:tcBorders>
            <w:vAlign w:val="center"/>
          </w:tcPr>
          <w:p w:rsidR="00F5405F" w:rsidRPr="00F5405F" w:rsidRDefault="00F5405F" w:rsidP="00F5405F">
            <w:pPr>
              <w:adjustRightInd w:val="0"/>
              <w:snapToGrid w:val="0"/>
              <w:spacing w:line="240" w:lineRule="exact"/>
              <w:jc w:val="center"/>
              <w:rPr>
                <w:rFonts w:ascii="Times New Roman" w:eastAsia="楷体" w:hAnsi="Times New Roman"/>
                <w:sz w:val="18"/>
                <w:szCs w:val="18"/>
              </w:rPr>
            </w:pPr>
            <w:r w:rsidRPr="00F5405F">
              <w:rPr>
                <w:rFonts w:ascii="Times New Roman" w:eastAsia="楷体" w:hAnsi="Times New Roman" w:hint="eastAsia"/>
                <w:sz w:val="18"/>
                <w:szCs w:val="18"/>
              </w:rPr>
              <w:t>技术突破</w:t>
            </w:r>
          </w:p>
        </w:tc>
        <w:tc>
          <w:tcPr>
            <w:tcW w:w="4647" w:type="pct"/>
            <w:tcBorders>
              <w:top w:val="single" w:sz="4" w:space="0" w:color="auto"/>
            </w:tcBorders>
            <w:vAlign w:val="center"/>
          </w:tcPr>
          <w:p w:rsidR="00F5405F" w:rsidRPr="00F5405F" w:rsidRDefault="00F5405F" w:rsidP="00F5405F">
            <w:pPr>
              <w:adjustRightInd w:val="0"/>
              <w:snapToGrid w:val="0"/>
              <w:spacing w:line="240" w:lineRule="exact"/>
              <w:rPr>
                <w:rFonts w:ascii="Times New Roman" w:eastAsia="楷体" w:hAnsi="Times New Roman"/>
                <w:sz w:val="18"/>
                <w:szCs w:val="18"/>
              </w:rPr>
            </w:pPr>
            <w:r w:rsidRPr="00F5405F">
              <w:rPr>
                <w:rFonts w:ascii="Times New Roman" w:eastAsia="楷体" w:hAnsi="Times New Roman" w:hint="eastAsia"/>
                <w:sz w:val="18"/>
                <w:szCs w:val="18"/>
              </w:rPr>
              <w:t>科技、创新、研发、科研、科教、科普、卡脖子、新引擎、新动能、实验室、新技术、高技术、核心技术、信息技术、数字技术、前沿技术、先进技术、基础研究、智慧城市、数字乡村、原创性研究、社会创造力、研究与试验、原创性技术、颠覆性技术</w:t>
            </w:r>
            <w:r>
              <w:rPr>
                <w:rFonts w:ascii="Times New Roman" w:eastAsia="楷体" w:hAnsi="Times New Roman" w:hint="eastAsia"/>
                <w:sz w:val="18"/>
                <w:szCs w:val="18"/>
              </w:rPr>
              <w:t>。</w:t>
            </w:r>
          </w:p>
        </w:tc>
      </w:tr>
      <w:tr w:rsidR="00F5405F" w:rsidRPr="00F5405F" w:rsidTr="00F5405F">
        <w:trPr>
          <w:trHeight w:val="227"/>
        </w:trPr>
        <w:tc>
          <w:tcPr>
            <w:tcW w:w="353" w:type="pct"/>
            <w:vAlign w:val="center"/>
          </w:tcPr>
          <w:p w:rsidR="00F5405F" w:rsidRPr="00F5405F" w:rsidRDefault="00F5405F" w:rsidP="00F5405F">
            <w:pPr>
              <w:adjustRightInd w:val="0"/>
              <w:snapToGrid w:val="0"/>
              <w:spacing w:line="240" w:lineRule="exact"/>
              <w:jc w:val="center"/>
              <w:rPr>
                <w:rFonts w:ascii="Times New Roman" w:eastAsia="楷体" w:hAnsi="Times New Roman"/>
                <w:sz w:val="18"/>
                <w:szCs w:val="18"/>
              </w:rPr>
            </w:pPr>
            <w:r w:rsidRPr="00F5405F">
              <w:rPr>
                <w:rFonts w:ascii="Times New Roman" w:eastAsia="楷体" w:hAnsi="Times New Roman" w:hint="eastAsia"/>
                <w:sz w:val="18"/>
                <w:szCs w:val="18"/>
              </w:rPr>
              <w:t>要素配置</w:t>
            </w:r>
          </w:p>
        </w:tc>
        <w:tc>
          <w:tcPr>
            <w:tcW w:w="4647" w:type="pct"/>
            <w:vAlign w:val="center"/>
          </w:tcPr>
          <w:p w:rsidR="00F5405F" w:rsidRPr="00F5405F" w:rsidRDefault="00F5405F" w:rsidP="00F5405F">
            <w:pPr>
              <w:adjustRightInd w:val="0"/>
              <w:snapToGrid w:val="0"/>
              <w:spacing w:line="240" w:lineRule="exact"/>
              <w:rPr>
                <w:rFonts w:ascii="Times New Roman" w:eastAsia="楷体" w:hAnsi="Times New Roman"/>
                <w:sz w:val="18"/>
                <w:szCs w:val="18"/>
              </w:rPr>
            </w:pPr>
            <w:r w:rsidRPr="00F5405F">
              <w:rPr>
                <w:rFonts w:ascii="Times New Roman" w:eastAsia="楷体" w:hAnsi="Times New Roman" w:hint="eastAsia"/>
                <w:sz w:val="18"/>
                <w:szCs w:val="18"/>
              </w:rPr>
              <w:t>新业态、新模式、放管服、产学研、去产能、去库存、去杠杆、高效能、高质量、市场化、市场活力、简政放权、资源配置、制度改革、制度创新、放管结合、营商环境、减税降费、有效市场、有为政府、数据共享、数字政府、数字社会、数字贸易、体制改革、政府职能、三去一降一补、高标准市场体系、全国统一大市场、市场准入负面清单</w:t>
            </w:r>
            <w:r>
              <w:rPr>
                <w:rFonts w:ascii="Times New Roman" w:eastAsia="楷体" w:hAnsi="Times New Roman" w:hint="eastAsia"/>
                <w:sz w:val="18"/>
                <w:szCs w:val="18"/>
              </w:rPr>
              <w:t>。</w:t>
            </w:r>
          </w:p>
        </w:tc>
      </w:tr>
      <w:tr w:rsidR="00F5405F" w:rsidRPr="00F5405F" w:rsidTr="00F5405F">
        <w:trPr>
          <w:trHeight w:val="227"/>
        </w:trPr>
        <w:tc>
          <w:tcPr>
            <w:tcW w:w="353" w:type="pct"/>
            <w:vAlign w:val="center"/>
          </w:tcPr>
          <w:p w:rsidR="00F5405F" w:rsidRPr="00F5405F" w:rsidRDefault="00F5405F" w:rsidP="00F5405F">
            <w:pPr>
              <w:adjustRightInd w:val="0"/>
              <w:snapToGrid w:val="0"/>
              <w:spacing w:line="240" w:lineRule="exact"/>
              <w:jc w:val="center"/>
              <w:rPr>
                <w:rFonts w:ascii="Times New Roman" w:eastAsia="楷体" w:hAnsi="Times New Roman"/>
                <w:sz w:val="18"/>
                <w:szCs w:val="18"/>
              </w:rPr>
            </w:pPr>
            <w:r w:rsidRPr="00F5405F">
              <w:rPr>
                <w:rFonts w:ascii="Times New Roman" w:eastAsia="楷体" w:hAnsi="Times New Roman" w:hint="eastAsia"/>
                <w:sz w:val="18"/>
                <w:szCs w:val="18"/>
              </w:rPr>
              <w:t>产业升级</w:t>
            </w:r>
          </w:p>
        </w:tc>
        <w:tc>
          <w:tcPr>
            <w:tcW w:w="4647" w:type="pct"/>
            <w:vAlign w:val="center"/>
          </w:tcPr>
          <w:p w:rsidR="00F5405F" w:rsidRPr="00F5405F" w:rsidRDefault="00F5405F" w:rsidP="00F5405F">
            <w:pPr>
              <w:adjustRightInd w:val="0"/>
              <w:snapToGrid w:val="0"/>
              <w:spacing w:line="240" w:lineRule="exact"/>
              <w:rPr>
                <w:rFonts w:ascii="Times New Roman" w:eastAsia="楷体" w:hAnsi="Times New Roman"/>
                <w:sz w:val="18"/>
                <w:szCs w:val="18"/>
              </w:rPr>
            </w:pPr>
            <w:r w:rsidRPr="00F5405F">
              <w:rPr>
                <w:rFonts w:ascii="Times New Roman" w:eastAsia="楷体" w:hAnsi="Times New Roman" w:hint="eastAsia"/>
                <w:sz w:val="18"/>
                <w:szCs w:val="18"/>
              </w:rPr>
              <w:t>新产业、供应链、产业链、生产力、现代农业、智慧农业、数字产业、产业集群、智能产业、新兴产业、未来产业、产业升级、产能过剩、过剩产能、传统产业、现代服务业、现代制造业、淘汰落后产能、生产性服务业、产业结构优化、产业结构调整、全要素生产率、供给侧结构性改革</w:t>
            </w:r>
            <w:r>
              <w:rPr>
                <w:rFonts w:ascii="Times New Roman" w:eastAsia="楷体" w:hAnsi="Times New Roman" w:hint="eastAsia"/>
                <w:sz w:val="18"/>
                <w:szCs w:val="18"/>
              </w:rPr>
              <w:t>。</w:t>
            </w:r>
          </w:p>
        </w:tc>
      </w:tr>
      <w:tr w:rsidR="00F5405F" w:rsidRPr="00F5405F" w:rsidTr="00F5405F">
        <w:trPr>
          <w:trHeight w:val="227"/>
        </w:trPr>
        <w:tc>
          <w:tcPr>
            <w:tcW w:w="353" w:type="pct"/>
            <w:vAlign w:val="center"/>
          </w:tcPr>
          <w:p w:rsidR="00F5405F" w:rsidRPr="00F5405F" w:rsidRDefault="00F5405F" w:rsidP="00F5405F">
            <w:pPr>
              <w:adjustRightInd w:val="0"/>
              <w:snapToGrid w:val="0"/>
              <w:spacing w:line="240" w:lineRule="exact"/>
              <w:jc w:val="center"/>
              <w:rPr>
                <w:rFonts w:ascii="Times New Roman" w:eastAsia="楷体" w:hAnsi="Times New Roman"/>
                <w:sz w:val="18"/>
                <w:szCs w:val="18"/>
              </w:rPr>
            </w:pPr>
            <w:r w:rsidRPr="00F5405F">
              <w:rPr>
                <w:rFonts w:ascii="Times New Roman" w:eastAsia="楷体" w:hAnsi="Times New Roman" w:hint="eastAsia"/>
                <w:sz w:val="18"/>
                <w:szCs w:val="18"/>
              </w:rPr>
              <w:t>新劳动者</w:t>
            </w:r>
          </w:p>
        </w:tc>
        <w:tc>
          <w:tcPr>
            <w:tcW w:w="4647" w:type="pct"/>
            <w:vAlign w:val="center"/>
          </w:tcPr>
          <w:p w:rsidR="00F5405F" w:rsidRPr="00F5405F" w:rsidRDefault="00F5405F" w:rsidP="00F5405F">
            <w:pPr>
              <w:adjustRightInd w:val="0"/>
              <w:snapToGrid w:val="0"/>
              <w:spacing w:line="240" w:lineRule="exact"/>
              <w:rPr>
                <w:rFonts w:ascii="Times New Roman" w:eastAsia="楷体" w:hAnsi="Times New Roman"/>
                <w:sz w:val="18"/>
                <w:szCs w:val="18"/>
              </w:rPr>
            </w:pPr>
            <w:r w:rsidRPr="00F5405F">
              <w:rPr>
                <w:rFonts w:ascii="Times New Roman" w:eastAsia="楷体" w:hAnsi="Times New Roman" w:hint="eastAsia"/>
                <w:sz w:val="18"/>
                <w:szCs w:val="18"/>
              </w:rPr>
              <w:t>知识、智力、助学、技能、人才、英才、高校、学术、培训、就业、创业、双创、学校、大学生、研究生、产权保护、工匠精神、立德树人、一流学科、一流大学、高等院校、高职院校、产教融合、校企合作、前沿学科、德智体美、义务教育、职业教育、高等教育、素质教育、在线教育、民办教育、继续教育</w:t>
            </w:r>
            <w:r>
              <w:rPr>
                <w:rFonts w:ascii="Times New Roman" w:eastAsia="楷体" w:hAnsi="Times New Roman" w:hint="eastAsia"/>
                <w:sz w:val="18"/>
                <w:szCs w:val="18"/>
              </w:rPr>
              <w:t>。</w:t>
            </w:r>
          </w:p>
        </w:tc>
      </w:tr>
      <w:tr w:rsidR="00F5405F" w:rsidRPr="00F5405F" w:rsidTr="00F5405F">
        <w:trPr>
          <w:trHeight w:val="227"/>
        </w:trPr>
        <w:tc>
          <w:tcPr>
            <w:tcW w:w="353" w:type="pct"/>
            <w:vAlign w:val="center"/>
          </w:tcPr>
          <w:p w:rsidR="00F5405F" w:rsidRPr="00F5405F" w:rsidRDefault="00F5405F" w:rsidP="00F5405F">
            <w:pPr>
              <w:adjustRightInd w:val="0"/>
              <w:snapToGrid w:val="0"/>
              <w:spacing w:line="240" w:lineRule="exact"/>
              <w:jc w:val="center"/>
              <w:rPr>
                <w:rFonts w:ascii="Times New Roman" w:eastAsia="楷体" w:hAnsi="Times New Roman"/>
                <w:sz w:val="18"/>
                <w:szCs w:val="18"/>
              </w:rPr>
            </w:pPr>
            <w:r w:rsidRPr="00F5405F">
              <w:rPr>
                <w:rFonts w:ascii="Times New Roman" w:eastAsia="楷体" w:hAnsi="Times New Roman" w:hint="eastAsia"/>
                <w:sz w:val="18"/>
                <w:szCs w:val="18"/>
              </w:rPr>
              <w:t>新劳动资料</w:t>
            </w:r>
          </w:p>
        </w:tc>
        <w:tc>
          <w:tcPr>
            <w:tcW w:w="4647" w:type="pct"/>
            <w:vAlign w:val="center"/>
          </w:tcPr>
          <w:p w:rsidR="00F5405F" w:rsidRPr="00F5405F" w:rsidRDefault="00F5405F" w:rsidP="00F5405F">
            <w:pPr>
              <w:adjustRightInd w:val="0"/>
              <w:snapToGrid w:val="0"/>
              <w:spacing w:line="240" w:lineRule="exact"/>
              <w:rPr>
                <w:rFonts w:ascii="Times New Roman" w:eastAsia="楷体" w:hAnsi="Times New Roman"/>
                <w:sz w:val="18"/>
                <w:szCs w:val="18"/>
              </w:rPr>
            </w:pPr>
            <w:r w:rsidRPr="00F5405F">
              <w:rPr>
                <w:rFonts w:ascii="Times New Roman" w:eastAsia="楷体" w:hAnsi="Times New Roman" w:hint="eastAsia"/>
                <w:sz w:val="18"/>
                <w:szCs w:val="18"/>
              </w:rPr>
              <w:t>高端化、智能化、绿色化、自动化、数字化、工业化、现代化、信息化、网络化、物联网、云计算、互联网、大数据、机器人、智能电网、超级计算、工业软件、智能制造、绿色制造、装备制造、先进制造、三网融合、人工智能、数据要素、分布式能源、数字基础设施</w:t>
            </w:r>
            <w:r>
              <w:rPr>
                <w:rFonts w:ascii="Times New Roman" w:eastAsia="楷体" w:hAnsi="Times New Roman" w:hint="eastAsia"/>
                <w:sz w:val="18"/>
                <w:szCs w:val="18"/>
              </w:rPr>
              <w:t>。</w:t>
            </w:r>
          </w:p>
        </w:tc>
      </w:tr>
      <w:tr w:rsidR="00F5405F" w:rsidRPr="00F5405F" w:rsidTr="00F5405F">
        <w:trPr>
          <w:trHeight w:val="227"/>
        </w:trPr>
        <w:tc>
          <w:tcPr>
            <w:tcW w:w="353" w:type="pct"/>
            <w:tcBorders>
              <w:bottom w:val="single" w:sz="12" w:space="0" w:color="auto"/>
            </w:tcBorders>
            <w:vAlign w:val="center"/>
          </w:tcPr>
          <w:p w:rsidR="00F5405F" w:rsidRPr="00F5405F" w:rsidRDefault="00F5405F" w:rsidP="00F5405F">
            <w:pPr>
              <w:adjustRightInd w:val="0"/>
              <w:snapToGrid w:val="0"/>
              <w:spacing w:line="240" w:lineRule="exact"/>
              <w:jc w:val="center"/>
              <w:rPr>
                <w:rFonts w:ascii="Times New Roman" w:eastAsia="楷体" w:hAnsi="Times New Roman"/>
                <w:sz w:val="18"/>
                <w:szCs w:val="18"/>
              </w:rPr>
            </w:pPr>
            <w:r w:rsidRPr="00F5405F">
              <w:rPr>
                <w:rFonts w:ascii="Times New Roman" w:eastAsia="楷体" w:hAnsi="Times New Roman" w:hint="eastAsia"/>
                <w:sz w:val="18"/>
                <w:szCs w:val="18"/>
              </w:rPr>
              <w:t>新劳动对象</w:t>
            </w:r>
          </w:p>
        </w:tc>
        <w:tc>
          <w:tcPr>
            <w:tcW w:w="4647" w:type="pct"/>
            <w:tcBorders>
              <w:bottom w:val="single" w:sz="12" w:space="0" w:color="auto"/>
            </w:tcBorders>
            <w:vAlign w:val="center"/>
          </w:tcPr>
          <w:p w:rsidR="00F5405F" w:rsidRPr="00F5405F" w:rsidRDefault="00F5405F" w:rsidP="00F5405F">
            <w:pPr>
              <w:adjustRightInd w:val="0"/>
              <w:snapToGrid w:val="0"/>
              <w:spacing w:line="240" w:lineRule="exact"/>
              <w:rPr>
                <w:rFonts w:ascii="Times New Roman" w:eastAsia="楷体" w:hAnsi="Times New Roman"/>
                <w:sz w:val="18"/>
                <w:szCs w:val="18"/>
              </w:rPr>
            </w:pPr>
            <w:r w:rsidRPr="00F5405F">
              <w:rPr>
                <w:rFonts w:ascii="Times New Roman" w:eastAsia="楷体" w:hAnsi="Times New Roman"/>
                <w:sz w:val="18"/>
                <w:szCs w:val="18"/>
              </w:rPr>
              <w:t>5G</w:t>
            </w:r>
            <w:r w:rsidRPr="00F5405F">
              <w:rPr>
                <w:rFonts w:ascii="Times New Roman" w:eastAsia="楷体" w:hAnsi="Times New Roman" w:hint="eastAsia"/>
                <w:sz w:val="18"/>
                <w:szCs w:val="18"/>
              </w:rPr>
              <w:t>、光伏、风电、锂电池、新能源、新材料、节能减排、节能环保、污染防治、绿色低碳、清洁能源、气候变化、电子商务、数字经济、电子信息、载人航天、火星探测、资源勘探、能源工程、生物医药、高端装备、循环经济、探月工程、载人深潜、卫星导航、高速铁路、集成电路、移动通信、共享经济、高端芯片、可再生能源。</w:t>
            </w:r>
          </w:p>
        </w:tc>
      </w:tr>
    </w:tbl>
    <w:p w:rsidR="00232BD5" w:rsidRDefault="00232BD5" w:rsidP="00F5405F">
      <w:pPr>
        <w:spacing w:line="480" w:lineRule="auto"/>
        <w:jc w:val="center"/>
        <w:rPr>
          <w:rFonts w:ascii="Times New Roman" w:eastAsia="黑体" w:hAnsi="Times New Roman"/>
          <w:b/>
          <w:bCs/>
          <w:sz w:val="24"/>
        </w:rPr>
      </w:pPr>
    </w:p>
    <w:p w:rsidR="00F5405F" w:rsidRPr="00F5405F" w:rsidRDefault="00F5405F" w:rsidP="00F5405F">
      <w:pPr>
        <w:spacing w:line="480" w:lineRule="auto"/>
        <w:jc w:val="center"/>
        <w:rPr>
          <w:rFonts w:ascii="Times New Roman" w:eastAsia="黑体" w:hAnsi="Times New Roman"/>
          <w:b/>
          <w:bCs/>
          <w:sz w:val="24"/>
        </w:rPr>
      </w:pPr>
      <w:bookmarkStart w:id="0" w:name="_GoBack"/>
      <w:bookmarkEnd w:id="0"/>
      <w:r w:rsidRPr="00F5405F">
        <w:rPr>
          <w:rFonts w:ascii="Times New Roman" w:eastAsia="黑体" w:hAnsi="Times New Roman" w:hint="eastAsia"/>
          <w:b/>
          <w:bCs/>
          <w:sz w:val="24"/>
        </w:rPr>
        <w:t>二、收入不平等变量的平稳性检验结果及相关说明</w:t>
      </w:r>
    </w:p>
    <w:p w:rsidR="00F5405F" w:rsidRPr="00F5405F" w:rsidRDefault="00F5405F" w:rsidP="00F5405F">
      <w:pPr>
        <w:adjustRightInd w:val="0"/>
        <w:snapToGrid w:val="0"/>
        <w:spacing w:line="240" w:lineRule="atLeast"/>
        <w:ind w:firstLineChars="200" w:firstLine="420"/>
        <w:rPr>
          <w:rFonts w:ascii="Times New Roman" w:eastAsia="宋体" w:hAnsi="Times New Roman" w:cs="Times New Roman"/>
        </w:rPr>
      </w:pPr>
      <w:r w:rsidRPr="00F5405F">
        <w:rPr>
          <w:rFonts w:ascii="Times New Roman" w:eastAsia="宋体" w:hAnsi="Times New Roman" w:cs="Times New Roman" w:hint="eastAsia"/>
        </w:rPr>
        <w:t>短面板数据具有</w:t>
      </w:r>
      <w:r w:rsidRPr="00F5405F">
        <w:rPr>
          <w:rFonts w:ascii="Times New Roman" w:eastAsia="宋体" w:hAnsi="Times New Roman" w:cs="Times New Roman" w:hint="eastAsia"/>
        </w:rPr>
        <w:t>N</w:t>
      </w:r>
      <w:r w:rsidRPr="00F5405F">
        <w:rPr>
          <w:rFonts w:ascii="Times New Roman" w:eastAsia="宋体" w:hAnsi="Times New Roman" w:cs="Times New Roman" w:hint="eastAsia"/>
        </w:rPr>
        <w:t>大</w:t>
      </w:r>
      <w:r w:rsidRPr="00F5405F">
        <w:rPr>
          <w:rFonts w:ascii="Times New Roman" w:eastAsia="宋体" w:hAnsi="Times New Roman" w:cs="Times New Roman" w:hint="eastAsia"/>
        </w:rPr>
        <w:t>T</w:t>
      </w:r>
      <w:r w:rsidRPr="00F5405F">
        <w:rPr>
          <w:rFonts w:ascii="Times New Roman" w:eastAsia="宋体" w:hAnsi="Times New Roman" w:cs="Times New Roman" w:hint="eastAsia"/>
        </w:rPr>
        <w:t>小的特征，其横截面宽度远大于时间序列长度，时间因素对实证分析的影响远小于横截面单位的选择，因此，现有经济类研究在选择面板数据进行回归分析时均倾向于扩大横截面宽度，进而在面板回归分析中通常不再单独考虑经济变量的平稳性问题，而是直接建立模型进行回归分析。但由于城乡差距这一测度指标属于不平等指数，而不平等指数在长时间序列中所固有的非平稳特征，因此，在实证分析时其平稳性问题是不能回避的。针对本文涉及的所有不平等指数，在短面板数据中使用针对性的</w:t>
      </w:r>
      <w:r w:rsidRPr="00F5405F">
        <w:rPr>
          <w:rFonts w:ascii="Times New Roman" w:eastAsia="宋体" w:hAnsi="Times New Roman" w:cs="Times New Roman" w:hint="eastAsia"/>
        </w:rPr>
        <w:t>HT</w:t>
      </w:r>
      <w:r w:rsidRPr="00F5405F">
        <w:rPr>
          <w:rFonts w:ascii="Times New Roman" w:eastAsia="宋体" w:hAnsi="Times New Roman" w:cs="Times New Roman" w:hint="eastAsia"/>
        </w:rPr>
        <w:t>检验和</w:t>
      </w:r>
      <w:r w:rsidRPr="00F5405F">
        <w:rPr>
          <w:rFonts w:ascii="Times New Roman" w:eastAsia="宋体" w:hAnsi="Times New Roman" w:cs="Times New Roman" w:hint="eastAsia"/>
        </w:rPr>
        <w:t>IPS</w:t>
      </w:r>
      <w:r w:rsidRPr="00F5405F">
        <w:rPr>
          <w:rFonts w:ascii="Times New Roman" w:eastAsia="宋体" w:hAnsi="Times New Roman" w:cs="Times New Roman" w:hint="eastAsia"/>
        </w:rPr>
        <w:t>检验进行面板单位根检验，结果如</w:t>
      </w:r>
      <w:r>
        <w:rPr>
          <w:rFonts w:ascii="Times New Roman" w:eastAsia="宋体" w:hAnsi="Times New Roman" w:cs="Times New Roman" w:hint="eastAsia"/>
        </w:rPr>
        <w:t>下表</w:t>
      </w:r>
      <w:r w:rsidRPr="00F5405F">
        <w:rPr>
          <w:rFonts w:ascii="Times New Roman" w:eastAsia="宋体" w:hAnsi="Times New Roman" w:cs="Times New Roman" w:hint="eastAsia"/>
        </w:rPr>
        <w:t>所示，本文有关不平等指数的面板数据均为平稳序列。</w:t>
      </w:r>
    </w:p>
    <w:p w:rsidR="00F5405F" w:rsidRPr="00F5405F" w:rsidRDefault="00F5405F" w:rsidP="00F5405F">
      <w:pPr>
        <w:tabs>
          <w:tab w:val="center" w:pos="4150"/>
        </w:tabs>
        <w:adjustRightInd w:val="0"/>
        <w:snapToGrid w:val="0"/>
        <w:ind w:firstLineChars="200" w:firstLine="422"/>
        <w:jc w:val="left"/>
        <w:rPr>
          <w:rFonts w:ascii="黑体" w:eastAsia="黑体" w:hAnsi="黑体" w:cs="Times New Roman"/>
          <w:b/>
          <w:bCs/>
          <w:szCs w:val="21"/>
        </w:rPr>
      </w:pPr>
      <w:r>
        <w:rPr>
          <w:rFonts w:ascii="黑体" w:eastAsia="黑体" w:hAnsi="黑体" w:cs="Times New Roman" w:hint="eastAsia"/>
          <w:b/>
          <w:bCs/>
          <w:szCs w:val="21"/>
        </w:rPr>
        <w:t>表2</w:t>
      </w:r>
      <w:r w:rsidRPr="00F5405F">
        <w:rPr>
          <w:rFonts w:ascii="黑体" w:eastAsia="黑体" w:hAnsi="黑体" w:cs="Times New Roman"/>
          <w:b/>
          <w:bCs/>
          <w:szCs w:val="21"/>
        </w:rPr>
        <w:tab/>
      </w:r>
      <w:r w:rsidRPr="00F5405F">
        <w:rPr>
          <w:rFonts w:ascii="黑体" w:eastAsia="黑体" w:hAnsi="黑体" w:cs="Times New Roman" w:hint="eastAsia"/>
          <w:b/>
          <w:bCs/>
          <w:szCs w:val="21"/>
        </w:rPr>
        <w:t>不平等指数单位根检验结果</w:t>
      </w:r>
    </w:p>
    <w:tbl>
      <w:tblPr>
        <w:tblStyle w:val="1"/>
        <w:tblW w:w="5000" w:type="pct"/>
        <w:jc w:val="center"/>
        <w:tblLook w:val="04A0" w:firstRow="1" w:lastRow="0" w:firstColumn="1" w:lastColumn="0" w:noHBand="0" w:noVBand="1"/>
      </w:tblPr>
      <w:tblGrid>
        <w:gridCol w:w="1836"/>
        <w:gridCol w:w="1267"/>
        <w:gridCol w:w="1022"/>
        <w:gridCol w:w="947"/>
        <w:gridCol w:w="1267"/>
        <w:gridCol w:w="1022"/>
        <w:gridCol w:w="945"/>
      </w:tblGrid>
      <w:tr w:rsidR="00F5405F" w:rsidRPr="00F5405F" w:rsidTr="00D50A5F">
        <w:trPr>
          <w:trHeight w:val="20"/>
          <w:jc w:val="center"/>
        </w:trPr>
        <w:tc>
          <w:tcPr>
            <w:tcW w:w="1105" w:type="pct"/>
            <w:vMerge w:val="restart"/>
            <w:tcBorders>
              <w:top w:val="single" w:sz="12" w:space="0" w:color="auto"/>
              <w:left w:val="nil"/>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变量名称</w:t>
            </w:r>
          </w:p>
        </w:tc>
        <w:tc>
          <w:tcPr>
            <w:tcW w:w="1378" w:type="pct"/>
            <w:gridSpan w:val="2"/>
            <w:tcBorders>
              <w:top w:val="single" w:sz="12" w:space="0" w:color="auto"/>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IPS</w:t>
            </w:r>
            <w:r w:rsidRPr="00F5405F">
              <w:rPr>
                <w:rFonts w:ascii="Times New Roman" w:eastAsia="宋体" w:hAnsi="Times New Roman" w:cs="Times New Roman" w:hint="eastAsia"/>
                <w:sz w:val="18"/>
              </w:rPr>
              <w:t>检验</w:t>
            </w:r>
          </w:p>
        </w:tc>
        <w:tc>
          <w:tcPr>
            <w:tcW w:w="570" w:type="pct"/>
            <w:vMerge w:val="restart"/>
            <w:tcBorders>
              <w:top w:val="single" w:sz="12" w:space="0" w:color="auto"/>
              <w:right w:val="nil"/>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结论</w:t>
            </w:r>
          </w:p>
        </w:tc>
        <w:tc>
          <w:tcPr>
            <w:tcW w:w="1378" w:type="pct"/>
            <w:gridSpan w:val="2"/>
            <w:tcBorders>
              <w:top w:val="single" w:sz="12" w:space="0" w:color="auto"/>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HT</w:t>
            </w:r>
            <w:r w:rsidRPr="00F5405F">
              <w:rPr>
                <w:rFonts w:ascii="Times New Roman" w:eastAsia="宋体" w:hAnsi="Times New Roman" w:cs="Times New Roman" w:hint="eastAsia"/>
                <w:sz w:val="18"/>
              </w:rPr>
              <w:t>检验</w:t>
            </w:r>
          </w:p>
        </w:tc>
        <w:tc>
          <w:tcPr>
            <w:tcW w:w="570" w:type="pct"/>
            <w:vMerge w:val="restart"/>
            <w:tcBorders>
              <w:top w:val="single" w:sz="12" w:space="0" w:color="auto"/>
              <w:right w:val="nil"/>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结论</w:t>
            </w:r>
          </w:p>
        </w:tc>
      </w:tr>
      <w:tr w:rsidR="00F5405F" w:rsidRPr="00F5405F" w:rsidTr="00D50A5F">
        <w:trPr>
          <w:trHeight w:val="20"/>
          <w:jc w:val="center"/>
        </w:trPr>
        <w:tc>
          <w:tcPr>
            <w:tcW w:w="1105" w:type="pct"/>
            <w:vMerge/>
            <w:tcBorders>
              <w:left w:val="nil"/>
              <w:bottom w:val="single" w:sz="4" w:space="0" w:color="auto"/>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p>
        </w:tc>
        <w:tc>
          <w:tcPr>
            <w:tcW w:w="763" w:type="pct"/>
            <w:tcBorders>
              <w:bottom w:val="single" w:sz="4" w:space="0" w:color="auto"/>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统计量</w:t>
            </w:r>
          </w:p>
        </w:tc>
        <w:tc>
          <w:tcPr>
            <w:tcW w:w="615" w:type="pct"/>
            <w:tcBorders>
              <w:bottom w:val="single" w:sz="4" w:space="0" w:color="auto"/>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P</w:t>
            </w:r>
            <w:r w:rsidRPr="00F5405F">
              <w:rPr>
                <w:rFonts w:ascii="Times New Roman" w:eastAsia="宋体" w:hAnsi="Times New Roman" w:cs="Times New Roman" w:hint="eastAsia"/>
                <w:sz w:val="18"/>
              </w:rPr>
              <w:t>值</w:t>
            </w:r>
          </w:p>
        </w:tc>
        <w:tc>
          <w:tcPr>
            <w:tcW w:w="570" w:type="pct"/>
            <w:vMerge/>
            <w:tcBorders>
              <w:bottom w:val="single" w:sz="4" w:space="0" w:color="auto"/>
              <w:right w:val="nil"/>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p>
        </w:tc>
        <w:tc>
          <w:tcPr>
            <w:tcW w:w="763" w:type="pct"/>
            <w:tcBorders>
              <w:bottom w:val="single" w:sz="4" w:space="0" w:color="auto"/>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统计量</w:t>
            </w:r>
          </w:p>
        </w:tc>
        <w:tc>
          <w:tcPr>
            <w:tcW w:w="615" w:type="pct"/>
            <w:tcBorders>
              <w:bottom w:val="single" w:sz="4" w:space="0" w:color="auto"/>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P</w:t>
            </w:r>
            <w:r w:rsidRPr="00F5405F">
              <w:rPr>
                <w:rFonts w:ascii="Times New Roman" w:eastAsia="宋体" w:hAnsi="Times New Roman" w:cs="Times New Roman" w:hint="eastAsia"/>
                <w:sz w:val="18"/>
              </w:rPr>
              <w:t>值</w:t>
            </w:r>
          </w:p>
        </w:tc>
        <w:tc>
          <w:tcPr>
            <w:tcW w:w="570" w:type="pct"/>
            <w:vMerge/>
            <w:tcBorders>
              <w:bottom w:val="single" w:sz="4" w:space="0" w:color="auto"/>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p>
        </w:tc>
      </w:tr>
      <w:tr w:rsidR="00F5405F" w:rsidRPr="00F5405F" w:rsidTr="00D50A5F">
        <w:trPr>
          <w:trHeight w:val="20"/>
          <w:jc w:val="center"/>
        </w:trPr>
        <w:tc>
          <w:tcPr>
            <w:tcW w:w="1105" w:type="pct"/>
            <w:tcBorders>
              <w:left w:val="nil"/>
              <w:bottom w:val="nil"/>
            </w:tcBorders>
            <w:vAlign w:val="center"/>
          </w:tcPr>
          <w:p w:rsidR="00F5405F" w:rsidRPr="00F5405F" w:rsidRDefault="00F5405F" w:rsidP="00F5405F">
            <w:pPr>
              <w:adjustRightInd w:val="0"/>
              <w:snapToGrid w:val="0"/>
              <w:spacing w:line="240" w:lineRule="exact"/>
              <w:jc w:val="center"/>
              <w:rPr>
                <w:rFonts w:ascii="Times New Roman" w:eastAsia="楷体" w:hAnsi="Times New Roman" w:cs="Times New Roman"/>
                <w:sz w:val="18"/>
                <w:szCs w:val="18"/>
              </w:rPr>
            </w:pPr>
            <w:r w:rsidRPr="00F5405F">
              <w:rPr>
                <w:rFonts w:ascii="Times New Roman" w:eastAsia="楷体" w:hAnsi="Times New Roman" w:cs="Times New Roman" w:hint="eastAsia"/>
                <w:sz w:val="18"/>
                <w:szCs w:val="18"/>
              </w:rPr>
              <w:t>泰尔指数</w:t>
            </w:r>
          </w:p>
        </w:tc>
        <w:tc>
          <w:tcPr>
            <w:tcW w:w="763" w:type="pct"/>
            <w:tcBorders>
              <w:bottom w:val="nil"/>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w:t>
            </w:r>
            <w:r w:rsidRPr="00F5405F">
              <w:rPr>
                <w:rFonts w:ascii="Times New Roman" w:eastAsia="宋体" w:hAnsi="Times New Roman" w:cs="Times New Roman"/>
                <w:sz w:val="18"/>
              </w:rPr>
              <w:t>9.856</w:t>
            </w:r>
          </w:p>
        </w:tc>
        <w:tc>
          <w:tcPr>
            <w:tcW w:w="615" w:type="pct"/>
            <w:tcBorders>
              <w:bottom w:val="nil"/>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0</w:t>
            </w:r>
            <w:r w:rsidRPr="00F5405F">
              <w:rPr>
                <w:rFonts w:ascii="Times New Roman" w:eastAsia="宋体" w:hAnsi="Times New Roman" w:cs="Times New Roman"/>
                <w:sz w:val="18"/>
              </w:rPr>
              <w:t>.000</w:t>
            </w:r>
          </w:p>
        </w:tc>
        <w:tc>
          <w:tcPr>
            <w:tcW w:w="570" w:type="pct"/>
            <w:tcBorders>
              <w:bottom w:val="nil"/>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平稳</w:t>
            </w:r>
          </w:p>
        </w:tc>
        <w:tc>
          <w:tcPr>
            <w:tcW w:w="763" w:type="pct"/>
            <w:tcBorders>
              <w:bottom w:val="nil"/>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w:t>
            </w:r>
            <w:r w:rsidRPr="00F5405F">
              <w:rPr>
                <w:rFonts w:ascii="Times New Roman" w:eastAsia="宋体" w:hAnsi="Times New Roman" w:cs="Times New Roman"/>
                <w:sz w:val="18"/>
              </w:rPr>
              <w:t>6.480</w:t>
            </w:r>
          </w:p>
        </w:tc>
        <w:tc>
          <w:tcPr>
            <w:tcW w:w="615" w:type="pct"/>
            <w:tcBorders>
              <w:bottom w:val="nil"/>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0</w:t>
            </w:r>
            <w:r w:rsidRPr="00F5405F">
              <w:rPr>
                <w:rFonts w:ascii="Times New Roman" w:eastAsia="宋体" w:hAnsi="Times New Roman" w:cs="Times New Roman"/>
                <w:sz w:val="18"/>
              </w:rPr>
              <w:t>.000</w:t>
            </w:r>
          </w:p>
        </w:tc>
        <w:tc>
          <w:tcPr>
            <w:tcW w:w="570" w:type="pct"/>
            <w:tcBorders>
              <w:bottom w:val="nil"/>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平稳</w:t>
            </w:r>
          </w:p>
        </w:tc>
      </w:tr>
      <w:tr w:rsidR="00F5405F" w:rsidRPr="00F5405F" w:rsidTr="00D50A5F">
        <w:trPr>
          <w:trHeight w:val="57"/>
          <w:jc w:val="center"/>
        </w:trPr>
        <w:tc>
          <w:tcPr>
            <w:tcW w:w="1105" w:type="pct"/>
            <w:tcBorders>
              <w:top w:val="nil"/>
              <w:left w:val="nil"/>
              <w:bottom w:val="nil"/>
            </w:tcBorders>
            <w:vAlign w:val="center"/>
          </w:tcPr>
          <w:p w:rsidR="00F5405F" w:rsidRPr="00F5405F" w:rsidRDefault="00F5405F" w:rsidP="00F5405F">
            <w:pPr>
              <w:adjustRightInd w:val="0"/>
              <w:snapToGrid w:val="0"/>
              <w:spacing w:line="240" w:lineRule="exact"/>
              <w:jc w:val="center"/>
              <w:rPr>
                <w:rFonts w:ascii="Times New Roman" w:eastAsia="楷体" w:hAnsi="Times New Roman" w:cs="Times New Roman"/>
                <w:sz w:val="18"/>
                <w:szCs w:val="18"/>
              </w:rPr>
            </w:pPr>
            <w:r w:rsidRPr="00F5405F">
              <w:rPr>
                <w:rFonts w:ascii="Times New Roman" w:eastAsia="楷体" w:hAnsi="Times New Roman" w:cs="Times New Roman" w:hint="eastAsia"/>
                <w:sz w:val="18"/>
                <w:szCs w:val="18"/>
              </w:rPr>
              <w:t>城乡收入比</w:t>
            </w:r>
          </w:p>
        </w:tc>
        <w:tc>
          <w:tcPr>
            <w:tcW w:w="763" w:type="pct"/>
            <w:tcBorders>
              <w:top w:val="nil"/>
              <w:bottom w:val="nil"/>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w:t>
            </w:r>
            <w:r w:rsidRPr="00F5405F">
              <w:rPr>
                <w:rFonts w:ascii="Times New Roman" w:eastAsia="宋体" w:hAnsi="Times New Roman" w:cs="Times New Roman"/>
                <w:sz w:val="18"/>
              </w:rPr>
              <w:t>10.217</w:t>
            </w:r>
          </w:p>
        </w:tc>
        <w:tc>
          <w:tcPr>
            <w:tcW w:w="615" w:type="pct"/>
            <w:tcBorders>
              <w:top w:val="nil"/>
              <w:bottom w:val="nil"/>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sz w:val="18"/>
              </w:rPr>
              <w:t>0.000</w:t>
            </w:r>
          </w:p>
        </w:tc>
        <w:tc>
          <w:tcPr>
            <w:tcW w:w="570" w:type="pct"/>
            <w:tcBorders>
              <w:top w:val="nil"/>
              <w:bottom w:val="nil"/>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平稳</w:t>
            </w:r>
          </w:p>
        </w:tc>
        <w:tc>
          <w:tcPr>
            <w:tcW w:w="763" w:type="pct"/>
            <w:tcBorders>
              <w:top w:val="nil"/>
              <w:bottom w:val="nil"/>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w:t>
            </w:r>
            <w:r w:rsidRPr="00F5405F">
              <w:rPr>
                <w:rFonts w:ascii="Times New Roman" w:eastAsia="宋体" w:hAnsi="Times New Roman" w:cs="Times New Roman"/>
                <w:sz w:val="18"/>
              </w:rPr>
              <w:t>6.402</w:t>
            </w:r>
          </w:p>
        </w:tc>
        <w:tc>
          <w:tcPr>
            <w:tcW w:w="615" w:type="pct"/>
            <w:tcBorders>
              <w:top w:val="nil"/>
              <w:bottom w:val="nil"/>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0</w:t>
            </w:r>
            <w:r w:rsidRPr="00F5405F">
              <w:rPr>
                <w:rFonts w:ascii="Times New Roman" w:eastAsia="宋体" w:hAnsi="Times New Roman" w:cs="Times New Roman"/>
                <w:sz w:val="18"/>
              </w:rPr>
              <w:t>.000</w:t>
            </w:r>
          </w:p>
        </w:tc>
        <w:tc>
          <w:tcPr>
            <w:tcW w:w="570" w:type="pct"/>
            <w:tcBorders>
              <w:top w:val="nil"/>
              <w:bottom w:val="nil"/>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平稳</w:t>
            </w:r>
          </w:p>
        </w:tc>
      </w:tr>
      <w:tr w:rsidR="00F5405F" w:rsidRPr="00F5405F" w:rsidTr="00D50A5F">
        <w:trPr>
          <w:trHeight w:val="20"/>
          <w:jc w:val="center"/>
        </w:trPr>
        <w:tc>
          <w:tcPr>
            <w:tcW w:w="1105" w:type="pct"/>
            <w:tcBorders>
              <w:top w:val="nil"/>
              <w:left w:val="nil"/>
              <w:bottom w:val="single" w:sz="12" w:space="0" w:color="auto"/>
            </w:tcBorders>
            <w:vAlign w:val="center"/>
          </w:tcPr>
          <w:p w:rsidR="00F5405F" w:rsidRPr="00F5405F" w:rsidRDefault="00F5405F" w:rsidP="00F5405F">
            <w:pPr>
              <w:adjustRightInd w:val="0"/>
              <w:snapToGrid w:val="0"/>
              <w:spacing w:line="240" w:lineRule="exact"/>
              <w:jc w:val="center"/>
              <w:rPr>
                <w:rFonts w:ascii="Times New Roman" w:eastAsia="楷体" w:hAnsi="Times New Roman" w:cs="Times New Roman"/>
                <w:sz w:val="18"/>
                <w:szCs w:val="18"/>
              </w:rPr>
            </w:pPr>
            <w:r w:rsidRPr="00F5405F">
              <w:rPr>
                <w:rFonts w:ascii="Times New Roman" w:eastAsia="楷体" w:hAnsi="Times New Roman" w:cs="Times New Roman" w:hint="eastAsia"/>
                <w:sz w:val="18"/>
                <w:szCs w:val="18"/>
              </w:rPr>
              <w:t>城乡消费比</w:t>
            </w:r>
          </w:p>
        </w:tc>
        <w:tc>
          <w:tcPr>
            <w:tcW w:w="763" w:type="pct"/>
            <w:tcBorders>
              <w:top w:val="nil"/>
              <w:bottom w:val="single" w:sz="12" w:space="0" w:color="auto"/>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w:t>
            </w:r>
            <w:r w:rsidRPr="00F5405F">
              <w:rPr>
                <w:rFonts w:ascii="Times New Roman" w:eastAsia="宋体" w:hAnsi="Times New Roman" w:cs="Times New Roman"/>
                <w:sz w:val="18"/>
              </w:rPr>
              <w:t>15.444</w:t>
            </w:r>
          </w:p>
        </w:tc>
        <w:tc>
          <w:tcPr>
            <w:tcW w:w="615" w:type="pct"/>
            <w:tcBorders>
              <w:top w:val="nil"/>
              <w:bottom w:val="single" w:sz="12" w:space="0" w:color="auto"/>
            </w:tcBorders>
            <w:vAlign w:val="center"/>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0</w:t>
            </w:r>
            <w:r w:rsidRPr="00F5405F">
              <w:rPr>
                <w:rFonts w:ascii="Times New Roman" w:eastAsia="宋体" w:hAnsi="Times New Roman" w:cs="Times New Roman"/>
                <w:sz w:val="18"/>
              </w:rPr>
              <w:t>.000</w:t>
            </w:r>
          </w:p>
        </w:tc>
        <w:tc>
          <w:tcPr>
            <w:tcW w:w="570" w:type="pct"/>
            <w:tcBorders>
              <w:top w:val="nil"/>
              <w:bottom w:val="single" w:sz="12" w:space="0" w:color="auto"/>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平稳</w:t>
            </w:r>
          </w:p>
        </w:tc>
        <w:tc>
          <w:tcPr>
            <w:tcW w:w="763" w:type="pct"/>
            <w:tcBorders>
              <w:top w:val="nil"/>
              <w:bottom w:val="single" w:sz="12" w:space="0" w:color="auto"/>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w:t>
            </w:r>
            <w:r w:rsidRPr="00F5405F">
              <w:rPr>
                <w:rFonts w:ascii="Times New Roman" w:eastAsia="宋体" w:hAnsi="Times New Roman" w:cs="Times New Roman"/>
                <w:sz w:val="18"/>
              </w:rPr>
              <w:t>15.593</w:t>
            </w:r>
          </w:p>
        </w:tc>
        <w:tc>
          <w:tcPr>
            <w:tcW w:w="615" w:type="pct"/>
            <w:tcBorders>
              <w:top w:val="nil"/>
              <w:bottom w:val="single" w:sz="12" w:space="0" w:color="auto"/>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0</w:t>
            </w:r>
            <w:r w:rsidRPr="00F5405F">
              <w:rPr>
                <w:rFonts w:ascii="Times New Roman" w:eastAsia="宋体" w:hAnsi="Times New Roman" w:cs="Times New Roman"/>
                <w:sz w:val="18"/>
              </w:rPr>
              <w:t>.000</w:t>
            </w:r>
          </w:p>
        </w:tc>
        <w:tc>
          <w:tcPr>
            <w:tcW w:w="570" w:type="pct"/>
            <w:tcBorders>
              <w:top w:val="nil"/>
              <w:bottom w:val="single" w:sz="12" w:space="0" w:color="auto"/>
              <w:right w:val="nil"/>
            </w:tcBorders>
          </w:tcPr>
          <w:p w:rsidR="00F5405F" w:rsidRPr="00F5405F" w:rsidRDefault="00F5405F" w:rsidP="00F5405F">
            <w:pPr>
              <w:adjustRightInd w:val="0"/>
              <w:snapToGrid w:val="0"/>
              <w:spacing w:line="240" w:lineRule="exact"/>
              <w:jc w:val="center"/>
              <w:rPr>
                <w:rFonts w:ascii="Times New Roman" w:eastAsia="宋体" w:hAnsi="Times New Roman" w:cs="Times New Roman"/>
                <w:sz w:val="18"/>
              </w:rPr>
            </w:pPr>
            <w:r w:rsidRPr="00F5405F">
              <w:rPr>
                <w:rFonts w:ascii="Times New Roman" w:eastAsia="宋体" w:hAnsi="Times New Roman" w:cs="Times New Roman" w:hint="eastAsia"/>
                <w:sz w:val="18"/>
              </w:rPr>
              <w:t>平稳</w:t>
            </w:r>
          </w:p>
        </w:tc>
      </w:tr>
    </w:tbl>
    <w:p w:rsidR="00076A4C" w:rsidRDefault="00076A4C"/>
    <w:sectPr w:rsidR="00076A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B13" w:rsidRDefault="00137B13" w:rsidP="00F5405F">
      <w:r>
        <w:separator/>
      </w:r>
    </w:p>
  </w:endnote>
  <w:endnote w:type="continuationSeparator" w:id="0">
    <w:p w:rsidR="00137B13" w:rsidRDefault="00137B13" w:rsidP="00F5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B13" w:rsidRDefault="00137B13" w:rsidP="00F5405F">
      <w:r>
        <w:separator/>
      </w:r>
    </w:p>
  </w:footnote>
  <w:footnote w:type="continuationSeparator" w:id="0">
    <w:p w:rsidR="00137B13" w:rsidRDefault="00137B13" w:rsidP="00F540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60A"/>
    <w:rsid w:val="00076A4C"/>
    <w:rsid w:val="00137B13"/>
    <w:rsid w:val="00232BD5"/>
    <w:rsid w:val="0070660A"/>
    <w:rsid w:val="00A71C05"/>
    <w:rsid w:val="00F54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A535F3"/>
  <w15:chartTrackingRefBased/>
  <w15:docId w15:val="{4470453E-ED3A-4669-A010-5ED488446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40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405F"/>
    <w:rPr>
      <w:sz w:val="18"/>
      <w:szCs w:val="18"/>
    </w:rPr>
  </w:style>
  <w:style w:type="paragraph" w:styleId="a5">
    <w:name w:val="footer"/>
    <w:basedOn w:val="a"/>
    <w:link w:val="a6"/>
    <w:uiPriority w:val="99"/>
    <w:unhideWhenUsed/>
    <w:rsid w:val="00F5405F"/>
    <w:pPr>
      <w:tabs>
        <w:tab w:val="center" w:pos="4153"/>
        <w:tab w:val="right" w:pos="8306"/>
      </w:tabs>
      <w:snapToGrid w:val="0"/>
      <w:jc w:val="left"/>
    </w:pPr>
    <w:rPr>
      <w:sz w:val="18"/>
      <w:szCs w:val="18"/>
    </w:rPr>
  </w:style>
  <w:style w:type="character" w:customStyle="1" w:styleId="a6">
    <w:name w:val="页脚 字符"/>
    <w:basedOn w:val="a0"/>
    <w:link w:val="a5"/>
    <w:uiPriority w:val="99"/>
    <w:rsid w:val="00F5405F"/>
    <w:rPr>
      <w:sz w:val="18"/>
      <w:szCs w:val="18"/>
    </w:rPr>
  </w:style>
  <w:style w:type="paragraph" w:styleId="a7">
    <w:name w:val="footnote text"/>
    <w:basedOn w:val="a"/>
    <w:link w:val="a8"/>
    <w:uiPriority w:val="99"/>
    <w:semiHidden/>
    <w:unhideWhenUsed/>
    <w:rsid w:val="00F5405F"/>
    <w:pPr>
      <w:snapToGrid w:val="0"/>
      <w:ind w:firstLineChars="200" w:firstLine="200"/>
      <w:jc w:val="left"/>
    </w:pPr>
    <w:rPr>
      <w:rFonts w:ascii="Times New Roman" w:eastAsia="宋体" w:hAnsi="Times New Roman"/>
      <w:sz w:val="18"/>
      <w:szCs w:val="18"/>
    </w:rPr>
  </w:style>
  <w:style w:type="character" w:customStyle="1" w:styleId="a8">
    <w:name w:val="脚注文本 字符"/>
    <w:basedOn w:val="a0"/>
    <w:link w:val="a7"/>
    <w:uiPriority w:val="99"/>
    <w:semiHidden/>
    <w:qFormat/>
    <w:rsid w:val="00F5405F"/>
    <w:rPr>
      <w:rFonts w:ascii="Times New Roman" w:eastAsia="宋体" w:hAnsi="Times New Roman"/>
      <w:sz w:val="18"/>
      <w:szCs w:val="18"/>
    </w:rPr>
  </w:style>
  <w:style w:type="character" w:styleId="a9">
    <w:name w:val="footnote reference"/>
    <w:basedOn w:val="a0"/>
    <w:uiPriority w:val="99"/>
    <w:semiHidden/>
    <w:unhideWhenUsed/>
    <w:rsid w:val="00F5405F"/>
    <w:rPr>
      <w:vertAlign w:val="superscript"/>
    </w:rPr>
  </w:style>
  <w:style w:type="table" w:customStyle="1" w:styleId="1">
    <w:name w:val="网格型1"/>
    <w:basedOn w:val="a1"/>
    <w:next w:val="aa"/>
    <w:uiPriority w:val="39"/>
    <w:rsid w:val="00F54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F54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a"/>
    <w:uiPriority w:val="39"/>
    <w:rsid w:val="00F54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修改标注</dc:creator>
  <cp:keywords/>
  <dc:description/>
  <cp:lastModifiedBy>修改标注</cp:lastModifiedBy>
  <cp:revision>3</cp:revision>
  <dcterms:created xsi:type="dcterms:W3CDTF">2025-03-16T15:22:00Z</dcterms:created>
  <dcterms:modified xsi:type="dcterms:W3CDTF">2025-07-17T12:32:00Z</dcterms:modified>
</cp:coreProperties>
</file>