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1E32D" w14:textId="77777777" w:rsidR="00BB2354" w:rsidRPr="007E3145" w:rsidRDefault="00BB2354" w:rsidP="00BB2354">
      <w:pPr>
        <w:jc w:val="center"/>
        <w:rPr>
          <w:rFonts w:ascii="Times New Roman" w:eastAsia="宋体" w:hAnsi="Times New Roman" w:cs="Times New Roman"/>
          <w:b/>
          <w:w w:val="120"/>
          <w:sz w:val="44"/>
          <w:szCs w:val="44"/>
        </w:rPr>
      </w:pPr>
      <w:proofErr w:type="gramStart"/>
      <w:r w:rsidRPr="007E3145">
        <w:rPr>
          <w:rFonts w:ascii="Times New Roman" w:eastAsia="宋体" w:hAnsi="Times New Roman" w:cs="Times New Roman"/>
          <w:b/>
          <w:w w:val="120"/>
          <w:sz w:val="44"/>
          <w:szCs w:val="44"/>
        </w:rPr>
        <w:t>资管新规</w:t>
      </w:r>
      <w:proofErr w:type="gramEnd"/>
      <w:r w:rsidRPr="007E3145">
        <w:rPr>
          <w:rFonts w:ascii="Times New Roman" w:eastAsia="宋体" w:hAnsi="Times New Roman" w:cs="Times New Roman"/>
          <w:b/>
          <w:w w:val="120"/>
          <w:sz w:val="44"/>
          <w:szCs w:val="44"/>
        </w:rPr>
        <w:t>与银行流动性囤积</w:t>
      </w:r>
    </w:p>
    <w:p w14:paraId="4DCC5ADC" w14:textId="0943FCC8" w:rsidR="00397CA6" w:rsidRPr="00C62A88" w:rsidRDefault="00BB2354" w:rsidP="007E3145"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C62A88">
        <w:rPr>
          <w:rFonts w:ascii="Times New Roman" w:eastAsia="宋体" w:hAnsi="Times New Roman" w:cs="Times New Roman"/>
          <w:b/>
          <w:bCs/>
          <w:sz w:val="24"/>
          <w:szCs w:val="24"/>
        </w:rPr>
        <w:t>一、数据来源</w:t>
      </w:r>
    </w:p>
    <w:p w14:paraId="0647A0D1" w14:textId="7CFD5A12" w:rsidR="00BB2354" w:rsidRPr="007E3145" w:rsidRDefault="00BB2354" w:rsidP="007E3145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  <w:r w:rsidRPr="007E3145">
        <w:rPr>
          <w:rFonts w:ascii="Times New Roman" w:eastAsia="宋体" w:hAnsi="Times New Roman" w:cs="Times New Roman"/>
        </w:rPr>
        <w:t>本文银行层面的数据主要来自</w:t>
      </w:r>
      <w:r w:rsidRPr="007E3145">
        <w:rPr>
          <w:rFonts w:ascii="Times New Roman" w:eastAsia="宋体" w:hAnsi="Times New Roman" w:cs="Times New Roman"/>
        </w:rPr>
        <w:t>CSMAR</w:t>
      </w:r>
      <w:r w:rsidRPr="007E3145">
        <w:rPr>
          <w:rFonts w:ascii="Times New Roman" w:eastAsia="宋体" w:hAnsi="Times New Roman" w:cs="Times New Roman"/>
        </w:rPr>
        <w:t>数据库、</w:t>
      </w:r>
      <w:r w:rsidRPr="007E3145">
        <w:rPr>
          <w:rFonts w:ascii="Times New Roman" w:eastAsia="宋体" w:hAnsi="Times New Roman" w:cs="Times New Roman"/>
        </w:rPr>
        <w:t>Wind</w:t>
      </w:r>
      <w:r w:rsidRPr="007E3145">
        <w:rPr>
          <w:rFonts w:ascii="Times New Roman" w:eastAsia="宋体" w:hAnsi="Times New Roman" w:cs="Times New Roman"/>
        </w:rPr>
        <w:t>数据库和</w:t>
      </w:r>
      <w:r w:rsidRPr="007E3145">
        <w:rPr>
          <w:rFonts w:ascii="Times New Roman" w:eastAsia="宋体" w:hAnsi="Times New Roman" w:cs="Times New Roman"/>
        </w:rPr>
        <w:t>CBD</w:t>
      </w:r>
      <w:r w:rsidRPr="007E3145">
        <w:rPr>
          <w:rFonts w:ascii="Times New Roman" w:eastAsia="宋体" w:hAnsi="Times New Roman" w:cs="Times New Roman"/>
        </w:rPr>
        <w:t>数据库，地区层面的宏观数据来自</w:t>
      </w:r>
      <w:r w:rsidRPr="007E3145">
        <w:rPr>
          <w:rFonts w:ascii="Times New Roman" w:eastAsia="宋体" w:hAnsi="Times New Roman" w:cs="Times New Roman"/>
        </w:rPr>
        <w:t>Wind</w:t>
      </w:r>
      <w:r w:rsidRPr="007E3145">
        <w:rPr>
          <w:rFonts w:ascii="Times New Roman" w:eastAsia="宋体" w:hAnsi="Times New Roman" w:cs="Times New Roman"/>
        </w:rPr>
        <w:t>数据库和国家统计局。</w:t>
      </w:r>
      <w:r w:rsidR="00D771A2">
        <w:rPr>
          <w:rFonts w:ascii="Times New Roman" w:eastAsia="宋体" w:hAnsi="Times New Roman" w:cs="Times New Roman" w:hint="eastAsia"/>
        </w:rPr>
        <w:t>其中，</w:t>
      </w:r>
      <w:r w:rsidR="00D771A2">
        <w:rPr>
          <w:rFonts w:ascii="Times New Roman" w:eastAsia="宋体" w:hAnsi="Times New Roman" w:cs="Times New Roman" w:hint="eastAsia"/>
        </w:rPr>
        <w:t>CBD</w:t>
      </w:r>
      <w:r w:rsidR="00D771A2">
        <w:rPr>
          <w:rFonts w:ascii="Times New Roman" w:eastAsia="宋体" w:hAnsi="Times New Roman" w:cs="Times New Roman" w:hint="eastAsia"/>
        </w:rPr>
        <w:t>数据来自于武汉大学经管院刘岩老师</w:t>
      </w:r>
      <w:r w:rsidR="00D771A2">
        <w:rPr>
          <w:rFonts w:ascii="Times New Roman" w:eastAsia="宋体" w:hAnsi="Times New Roman" w:cs="Times New Roman" w:hint="eastAsia"/>
        </w:rPr>
        <w:t>CBD</w:t>
      </w:r>
      <w:r w:rsidR="00D771A2">
        <w:rPr>
          <w:rFonts w:ascii="Times New Roman" w:eastAsia="宋体" w:hAnsi="Times New Roman" w:cs="Times New Roman" w:hint="eastAsia"/>
        </w:rPr>
        <w:t>项目，目前暂不公开。</w:t>
      </w:r>
      <w:r w:rsidR="00D771A2">
        <w:rPr>
          <w:rFonts w:ascii="Times New Roman" w:eastAsia="宋体" w:hAnsi="Times New Roman" w:cs="Times New Roman" w:hint="eastAsia"/>
        </w:rPr>
        <w:t>CSMAR</w:t>
      </w:r>
      <w:r w:rsidR="00D771A2">
        <w:rPr>
          <w:rFonts w:ascii="Times New Roman" w:eastAsia="宋体" w:hAnsi="Times New Roman" w:cs="Times New Roman" w:hint="eastAsia"/>
        </w:rPr>
        <w:t>和</w:t>
      </w:r>
      <w:r w:rsidR="00D771A2">
        <w:rPr>
          <w:rFonts w:ascii="Times New Roman" w:eastAsia="宋体" w:hAnsi="Times New Roman" w:cs="Times New Roman" w:hint="eastAsia"/>
        </w:rPr>
        <w:t>Wind</w:t>
      </w:r>
      <w:r w:rsidR="00D771A2">
        <w:rPr>
          <w:rFonts w:ascii="Times New Roman" w:eastAsia="宋体" w:hAnsi="Times New Roman" w:cs="Times New Roman" w:hint="eastAsia"/>
        </w:rPr>
        <w:t>是收费数据库</w:t>
      </w:r>
      <w:r w:rsidRPr="007E3145">
        <w:rPr>
          <w:rFonts w:ascii="Times New Roman" w:eastAsia="宋体" w:hAnsi="Times New Roman" w:cs="Times New Roman"/>
        </w:rPr>
        <w:t>，不宜公布，故仅展示变量名称、说明及获取来源。</w:t>
      </w:r>
    </w:p>
    <w:p w14:paraId="0FB20CF0" w14:textId="77777777" w:rsidR="007E3145" w:rsidRPr="007E3145" w:rsidRDefault="007E3145" w:rsidP="007E3145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</w:p>
    <w:p w14:paraId="585A781A" w14:textId="5B1A9754" w:rsidR="007E3145" w:rsidRPr="00C62A88" w:rsidRDefault="007E3145" w:rsidP="007E3145">
      <w:pPr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C62A88">
        <w:rPr>
          <w:rFonts w:ascii="Times New Roman" w:eastAsia="宋体" w:hAnsi="Times New Roman" w:cs="Times New Roman"/>
          <w:b/>
          <w:bCs/>
          <w:sz w:val="24"/>
          <w:szCs w:val="24"/>
        </w:rPr>
        <w:t>二、具体变量</w:t>
      </w:r>
    </w:p>
    <w:p w14:paraId="614D06DD" w14:textId="08A0E22A" w:rsidR="00BB2354" w:rsidRPr="007E3145" w:rsidRDefault="00BB2354" w:rsidP="00BB2354">
      <w:pPr>
        <w:snapToGrid w:val="0"/>
        <w:spacing w:line="400" w:lineRule="exact"/>
        <w:ind w:firstLineChars="200" w:firstLine="422"/>
        <w:rPr>
          <w:rFonts w:ascii="Times New Roman" w:eastAsia="黑体" w:hAnsi="Times New Roman" w:cs="Times New Roman"/>
          <w:b/>
          <w:bCs/>
          <w:szCs w:val="21"/>
        </w:rPr>
      </w:pPr>
      <w:r w:rsidRPr="007E3145">
        <w:rPr>
          <w:rFonts w:ascii="Times New Roman" w:eastAsia="黑体" w:hAnsi="Times New Roman" w:cs="Times New Roman"/>
          <w:b/>
          <w:bCs/>
          <w:szCs w:val="21"/>
        </w:rPr>
        <w:t xml:space="preserve"> </w:t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>主要变量</w:t>
      </w:r>
    </w:p>
    <w:tbl>
      <w:tblPr>
        <w:tblW w:w="5347" w:type="pct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1104"/>
        <w:gridCol w:w="1417"/>
        <w:gridCol w:w="5248"/>
      </w:tblGrid>
      <w:tr w:rsidR="00BB2354" w:rsidRPr="007E3145" w14:paraId="7D064795" w14:textId="77777777" w:rsidTr="00150867">
        <w:trPr>
          <w:trHeight w:val="277"/>
        </w:trPr>
        <w:tc>
          <w:tcPr>
            <w:tcW w:w="8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EDF1" w14:textId="77777777" w:rsidR="00BB2354" w:rsidRPr="007E3145" w:rsidRDefault="00BB2354" w:rsidP="00150867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E314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变量</w:t>
            </w:r>
          </w:p>
        </w:tc>
        <w:tc>
          <w:tcPr>
            <w:tcW w:w="59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012E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E314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符号表述</w:t>
            </w:r>
          </w:p>
        </w:tc>
        <w:tc>
          <w:tcPr>
            <w:tcW w:w="76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7DDD" w14:textId="61EB0732" w:rsidR="00BB2354" w:rsidRPr="007E3145" w:rsidRDefault="00BB2354" w:rsidP="00150867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E314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来源</w:t>
            </w:r>
          </w:p>
        </w:tc>
        <w:tc>
          <w:tcPr>
            <w:tcW w:w="281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1840" w14:textId="1B9FF7F0" w:rsidR="00BB2354" w:rsidRPr="007E3145" w:rsidRDefault="00BB2354" w:rsidP="00150867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7E3145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计算方法</w:t>
            </w:r>
          </w:p>
        </w:tc>
      </w:tr>
      <w:tr w:rsidR="00BB2354" w:rsidRPr="007E3145" w14:paraId="7308DC2E" w14:textId="77777777" w:rsidTr="00150867">
        <w:trPr>
          <w:trHeight w:val="277"/>
        </w:trPr>
        <w:tc>
          <w:tcPr>
            <w:tcW w:w="83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2481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流动性囤积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6385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THA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F7C08" w14:textId="1B2EC7D8" w:rsidR="00BB2354" w:rsidRPr="00150867" w:rsidRDefault="00BB2354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150867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CBD&amp;W</w:t>
            </w:r>
            <w:r w:rsidR="00D771A2"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ind</w:t>
            </w:r>
            <w:proofErr w:type="spellEnd"/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CC7D" w14:textId="4BA472A8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流动性囤积标准化后等比扩大可得</w:t>
            </w:r>
          </w:p>
        </w:tc>
      </w:tr>
      <w:tr w:rsidR="00BB2354" w:rsidRPr="007E3145" w14:paraId="08431EDA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FB8C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影子银行程度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15E8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Intensity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570BF" w14:textId="0E1AF47B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3C47" w14:textId="78D63969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买入返售金融资产净额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应收款项类投资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)/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</w:t>
            </w:r>
          </w:p>
        </w:tc>
      </w:tr>
      <w:tr w:rsidR="00BB2354" w:rsidRPr="007E3145" w14:paraId="1FBEDC68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C781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时间虚拟变量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57FB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Post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FD17F" w14:textId="39FD726B" w:rsidR="00BB2354" w:rsidRPr="00150867" w:rsidRDefault="00BB2354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自构造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3A42" w14:textId="47A3361D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proofErr w:type="gramStart"/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资管新规</w:t>
            </w:r>
            <w:proofErr w:type="gramEnd"/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实施前后分别为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，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BB2354" w:rsidRPr="007E3145" w14:paraId="241027AB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829B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资产收益率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34D2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ROA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63C9C" w14:textId="5FDDF17B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CSMAR&amp;CBD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4531" w14:textId="05F4E29C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净利润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资产总额，单位调整为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B2354" w:rsidRPr="007E3145" w14:paraId="51040BFA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0B01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总资产周转率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DFCF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Turnover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0AB9B" w14:textId="308918E1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CSMAR&amp;CBD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D5C0" w14:textId="6A700084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销售收入净额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资产总额，单位调整为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B2354" w:rsidRPr="007E3145" w14:paraId="08D91E95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5DD0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贷款规模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D55F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Loan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3A3EF" w14:textId="1B746C88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CSMAR&amp;CBD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6B10" w14:textId="1154497B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贷款总额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资产总额，单位调整为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B2354" w:rsidRPr="007E3145" w14:paraId="74FBB6B3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7F1B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财务杠杆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FCA9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LEV</w:t>
            </w:r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EF47C4" w14:textId="76F92CA1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CSMAR&amp;CBD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AEAA" w14:textId="60050720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负债总额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资产总额，单位调整为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%</w:t>
            </w:r>
          </w:p>
        </w:tc>
      </w:tr>
      <w:tr w:rsidR="00BB2354" w:rsidRPr="007E3145" w14:paraId="7AF19AC9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6D20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银行规模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577D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InAsset</w:t>
            </w:r>
            <w:proofErr w:type="spellEnd"/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D194D" w14:textId="6D4BD5D8" w:rsidR="00BB2354" w:rsidRPr="00150867" w:rsidRDefault="00BB2354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CBD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41B5" w14:textId="65A10EAE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资产总额的对数值</w:t>
            </w:r>
          </w:p>
        </w:tc>
      </w:tr>
      <w:tr w:rsidR="00BB2354" w:rsidRPr="007E3145" w14:paraId="69E342F6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2C3F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财政支出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37AA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InFinExpend</w:t>
            </w:r>
            <w:proofErr w:type="spellEnd"/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064AF" w14:textId="1D591EB5" w:rsidR="00BB2354" w:rsidRPr="00150867" w:rsidRDefault="00BB2354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国统局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593C" w14:textId="678094FC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银行所在省的财政支出对数值</w:t>
            </w:r>
          </w:p>
        </w:tc>
      </w:tr>
      <w:tr w:rsidR="00BB2354" w:rsidRPr="007E3145" w14:paraId="3A47DE07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3347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人均地区生产总值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CF36" w14:textId="777777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InperGDP</w:t>
            </w:r>
            <w:proofErr w:type="spellEnd"/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E4DCB" w14:textId="11A25B73" w:rsidR="00BB2354" w:rsidRPr="00150867" w:rsidRDefault="00BB2354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国统局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08BB" w14:textId="1D835EF3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0" w:name="_Hlk172837714"/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银行所在省的人均地区生产总值对数值</w:t>
            </w:r>
            <w:bookmarkEnd w:id="0"/>
          </w:p>
        </w:tc>
      </w:tr>
      <w:tr w:rsidR="00BB2354" w:rsidRPr="007E3145" w14:paraId="4E6E0448" w14:textId="77777777" w:rsidTr="00150867">
        <w:trPr>
          <w:trHeight w:val="277"/>
        </w:trPr>
        <w:tc>
          <w:tcPr>
            <w:tcW w:w="83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5DC46" w14:textId="1F4EB438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金融监管强度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5519" w14:textId="17C117F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FinRegu</w:t>
            </w:r>
            <w:proofErr w:type="spellEnd"/>
          </w:p>
        </w:tc>
        <w:tc>
          <w:tcPr>
            <w:tcW w:w="7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DA0F5" w14:textId="0E23D401" w:rsidR="00BB2354" w:rsidRPr="00150867" w:rsidRDefault="00150867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Wind</w:t>
            </w:r>
          </w:p>
        </w:tc>
        <w:tc>
          <w:tcPr>
            <w:tcW w:w="2814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104C108" w14:textId="06819277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各省统计年鉴中罚没收入与同年全国罚没收入的比值</w:t>
            </w:r>
          </w:p>
        </w:tc>
      </w:tr>
      <w:tr w:rsidR="00BB2354" w:rsidRPr="007E3145" w14:paraId="73DD00C7" w14:textId="77777777" w:rsidTr="00150867">
        <w:trPr>
          <w:trHeight w:val="277"/>
        </w:trPr>
        <w:tc>
          <w:tcPr>
            <w:tcW w:w="834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84093" w14:textId="3E1D9E4D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风险偏好</w:t>
            </w:r>
          </w:p>
        </w:tc>
        <w:tc>
          <w:tcPr>
            <w:tcW w:w="59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0345" w14:textId="301852B1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RWA</w:t>
            </w:r>
          </w:p>
        </w:tc>
        <w:tc>
          <w:tcPr>
            <w:tcW w:w="7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944CEC" w14:textId="1010C9DA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CBD</w:t>
            </w:r>
          </w:p>
        </w:tc>
        <w:tc>
          <w:tcPr>
            <w:tcW w:w="2814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57F84A" w14:textId="00F13DA4" w:rsidR="00BB2354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风险加权资产与总资产的比值</w:t>
            </w:r>
          </w:p>
        </w:tc>
      </w:tr>
      <w:tr w:rsidR="00BB2354" w:rsidRPr="007E3145" w14:paraId="5A691FD9" w14:textId="77777777" w:rsidTr="00150867">
        <w:trPr>
          <w:trHeight w:val="277"/>
        </w:trPr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6539" w14:textId="080E8160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固定资产投资增速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F3206" w14:textId="3D41D08A" w:rsidR="00BB2354" w:rsidRPr="007E3145" w:rsidRDefault="00BB2354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FA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EEBC63" w14:textId="752F8C13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CBD</w:t>
            </w:r>
          </w:p>
        </w:tc>
        <w:tc>
          <w:tcPr>
            <w:tcW w:w="28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BE023F" w14:textId="34EC4437" w:rsidR="00BB2354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银行固定资产投资同比增速</w:t>
            </w:r>
          </w:p>
        </w:tc>
      </w:tr>
      <w:tr w:rsidR="00BB2354" w:rsidRPr="007E3145" w14:paraId="3BBCBCB5" w14:textId="77777777" w:rsidTr="00150867">
        <w:trPr>
          <w:trHeight w:val="277"/>
        </w:trPr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65F6" w14:textId="1F5F3EB9" w:rsidR="00BB2354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银行贷款增速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3ED8" w14:textId="30552ACE" w:rsidR="00BB2354" w:rsidRPr="007E3145" w:rsidRDefault="00673DED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S</w:t>
            </w:r>
            <w:r w:rsidR="007E3145"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LOAN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69D250" w14:textId="3DF85B4E" w:rsidR="00BB2354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CSMAR&amp;CBD</w:t>
            </w:r>
          </w:p>
        </w:tc>
        <w:tc>
          <w:tcPr>
            <w:tcW w:w="28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B62BD7" w14:textId="3FC15E29" w:rsidR="00BB2354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银行贷款同比增速</w:t>
            </w:r>
          </w:p>
        </w:tc>
      </w:tr>
      <w:tr w:rsidR="007E3145" w:rsidRPr="007E3145" w14:paraId="2EAC0C06" w14:textId="77777777" w:rsidTr="00150867">
        <w:trPr>
          <w:trHeight w:val="277"/>
        </w:trPr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9D10" w14:textId="6017522F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信贷供给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596F" w14:textId="58E66E28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DL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6DE35F" w14:textId="4D73EF75" w:rsidR="007E3145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CBD&amp;Wind</w:t>
            </w:r>
            <w:proofErr w:type="spellEnd"/>
          </w:p>
        </w:tc>
        <w:tc>
          <w:tcPr>
            <w:tcW w:w="28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B88AA7" w14:textId="5779E90D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（个人信用贷款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+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企业信用贷款）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总贷款</w:t>
            </w:r>
          </w:p>
        </w:tc>
      </w:tr>
      <w:tr w:rsidR="007E3145" w:rsidRPr="007E3145" w14:paraId="77D0F9B5" w14:textId="77777777" w:rsidTr="00150867">
        <w:trPr>
          <w:trHeight w:val="277"/>
        </w:trPr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D7C23" w14:textId="5E3FBC33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金融结构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2D3E" w14:textId="46B50DF3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proofErr w:type="spellStart"/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Finstr</w:t>
            </w:r>
            <w:proofErr w:type="spellEnd"/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C49E41" w14:textId="09663575" w:rsidR="007E3145" w:rsidRPr="00150867" w:rsidRDefault="00D771A2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i/>
                <w:iCs/>
                <w:color w:val="000000"/>
                <w:kern w:val="0"/>
                <w:sz w:val="18"/>
                <w:szCs w:val="18"/>
              </w:rPr>
              <w:t>Wind</w:t>
            </w:r>
          </w:p>
        </w:tc>
        <w:tc>
          <w:tcPr>
            <w:tcW w:w="2814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0F811D5" w14:textId="1C2D549B" w:rsidR="007E3145" w:rsidRPr="007E3145" w:rsidRDefault="007E3145" w:rsidP="007D6CAB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银行所在地区新增人民币贷款占当年各省社会融资规模之比，按中位数分组，高于中位数取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，否则取为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7E3145" w:rsidRPr="007E3145" w14:paraId="283C5AA2" w14:textId="77777777" w:rsidTr="00150867">
        <w:trPr>
          <w:trHeight w:val="277"/>
        </w:trPr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032B" w14:textId="7CE16EB1" w:rsidR="007E3145" w:rsidRPr="007E3145" w:rsidRDefault="007E3145" w:rsidP="007E3145">
            <w:pPr>
              <w:widowControl/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银行数字化转型程度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7696D" w14:textId="6487254E" w:rsidR="007E3145" w:rsidRPr="007E3145" w:rsidRDefault="007E3145" w:rsidP="007E3145">
            <w:pPr>
              <w:widowControl/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Digital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646E84" w14:textId="1303682C" w:rsidR="007E3145" w:rsidRPr="00150867" w:rsidRDefault="007E3145" w:rsidP="00150867">
            <w:pPr>
              <w:widowControl/>
              <w:snapToGrid w:val="0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50867">
              <w:rPr>
                <w:rFonts w:ascii="Times New Roman" w:eastAsia="楷体" w:hAnsi="Times New Roman" w:cs="Times New Roman" w:hint="eastAsia"/>
                <w:color w:val="000000"/>
                <w:kern w:val="0"/>
                <w:sz w:val="18"/>
                <w:szCs w:val="18"/>
              </w:rPr>
              <w:t>北京大学数字金融研究中心</w:t>
            </w:r>
          </w:p>
        </w:tc>
        <w:tc>
          <w:tcPr>
            <w:tcW w:w="2814" w:type="pct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9F0716E" w14:textId="05584D01" w:rsidR="007E3145" w:rsidRPr="007E3145" w:rsidRDefault="007E3145" w:rsidP="007E3145">
            <w:pPr>
              <w:widowControl/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根据</w:t>
            </w:r>
            <w:proofErr w:type="gramStart"/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资管新规</w:t>
            </w:r>
            <w:proofErr w:type="gramEnd"/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实施前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2013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年底至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2017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年底商业银行数字化转型程度中位数进行分组，高于中位数取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，否则取为</w:t>
            </w:r>
            <w:r w:rsidRPr="007E3145">
              <w:rPr>
                <w:rFonts w:ascii="Times New Roman" w:eastAsia="楷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</w:tr>
    </w:tbl>
    <w:p w14:paraId="6DA6E82E" w14:textId="77777777" w:rsidR="00BB2354" w:rsidRPr="007E3145" w:rsidRDefault="00BB2354" w:rsidP="007E3145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</w:p>
    <w:p w14:paraId="13734A7B" w14:textId="03E4C349" w:rsidR="007E3145" w:rsidRPr="007E3145" w:rsidRDefault="007E3145" w:rsidP="007E3145">
      <w:pPr>
        <w:spacing w:line="400" w:lineRule="exact"/>
        <w:ind w:firstLineChars="200" w:firstLine="420"/>
        <w:rPr>
          <w:rFonts w:ascii="Times New Roman" w:eastAsia="宋体" w:hAnsi="Times New Roman" w:cs="Times New Roman"/>
        </w:rPr>
      </w:pPr>
      <w:r w:rsidRPr="007E3145">
        <w:rPr>
          <w:rFonts w:ascii="Times New Roman" w:eastAsia="宋体" w:hAnsi="Times New Roman" w:cs="Times New Roman"/>
        </w:rPr>
        <w:t>其中，流动性囤积为自构造数据，构造方法如下：</w:t>
      </w:r>
    </w:p>
    <w:p w14:paraId="42481253" w14:textId="77777777" w:rsidR="007E3145" w:rsidRPr="007E3145" w:rsidRDefault="007E3145" w:rsidP="007E3145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7E3145">
        <w:rPr>
          <w:rFonts w:ascii="Times New Roman" w:eastAsia="宋体" w:hAnsi="Times New Roman" w:cs="Times New Roman"/>
          <w:szCs w:val="21"/>
        </w:rPr>
        <w:t>流动性囤积（总量）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＝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流动性囤积（资产）＋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流动性囤积（负债）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</w:p>
    <w:p w14:paraId="61F3C4A1" w14:textId="77777777" w:rsidR="007E3145" w:rsidRPr="007E3145" w:rsidRDefault="007E3145" w:rsidP="007E3145">
      <w:pPr>
        <w:widowControl/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7E3145">
        <w:rPr>
          <w:rFonts w:ascii="Times New Roman" w:eastAsia="宋体" w:hAnsi="Times New Roman" w:cs="Times New Roman"/>
          <w:szCs w:val="21"/>
        </w:rPr>
        <w:t>流动性囤积（资产）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＝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（</w:t>
      </w:r>
      <w:r w:rsidRPr="007E3145">
        <w:rPr>
          <w:rFonts w:ascii="Times New Roman" w:eastAsia="宋体" w:hAnsi="Times New Roman" w:cs="Times New Roman"/>
          <w:szCs w:val="21"/>
        </w:rPr>
        <w:t>+0.5</w:t>
      </w:r>
      <w:r w:rsidRPr="007E3145">
        <w:rPr>
          <w:rFonts w:ascii="Times New Roman" w:eastAsia="宋体" w:hAnsi="Times New Roman" w:cs="Times New Roman"/>
          <w:szCs w:val="21"/>
        </w:rPr>
        <w:t>）</w:t>
      </w:r>
      <w:r w:rsidRPr="007E3145">
        <w:rPr>
          <w:rFonts w:ascii="Times New Roman" w:eastAsia="宋体" w:hAnsi="Times New Roman" w:cs="Times New Roman"/>
          <w:szCs w:val="21"/>
        </w:rPr>
        <w:t xml:space="preserve">× </w:t>
      </w:r>
      <w:r w:rsidRPr="007E3145">
        <w:rPr>
          <w:rFonts w:ascii="Times New Roman" w:eastAsia="宋体" w:hAnsi="Times New Roman" w:cs="Times New Roman"/>
          <w:szCs w:val="21"/>
        </w:rPr>
        <w:t>流动性资产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＋（</w:t>
      </w:r>
      <w:r w:rsidRPr="007E3145">
        <w:rPr>
          <w:rFonts w:ascii="Times New Roman" w:eastAsia="宋体" w:hAnsi="Times New Roman" w:cs="Times New Roman"/>
          <w:szCs w:val="21"/>
        </w:rPr>
        <w:t>-0.5</w:t>
      </w:r>
      <w:r w:rsidRPr="007E3145">
        <w:rPr>
          <w:rFonts w:ascii="Times New Roman" w:eastAsia="宋体" w:hAnsi="Times New Roman" w:cs="Times New Roman"/>
          <w:szCs w:val="21"/>
        </w:rPr>
        <w:t>）</w:t>
      </w:r>
      <w:r w:rsidRPr="007E3145">
        <w:rPr>
          <w:rFonts w:ascii="Times New Roman" w:eastAsia="宋体" w:hAnsi="Times New Roman" w:cs="Times New Roman"/>
          <w:szCs w:val="21"/>
        </w:rPr>
        <w:t xml:space="preserve">× </w:t>
      </w:r>
      <w:r w:rsidRPr="007E3145">
        <w:rPr>
          <w:rFonts w:ascii="Times New Roman" w:eastAsia="宋体" w:hAnsi="Times New Roman" w:cs="Times New Roman"/>
          <w:szCs w:val="21"/>
        </w:rPr>
        <w:t>非流动性资产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</w:p>
    <w:p w14:paraId="5FCB4375" w14:textId="77777777" w:rsidR="007E3145" w:rsidRPr="007E3145" w:rsidRDefault="007E3145" w:rsidP="007E3145">
      <w:pPr>
        <w:tabs>
          <w:tab w:val="left" w:pos="1522"/>
        </w:tabs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E3145">
        <w:rPr>
          <w:rFonts w:ascii="Times New Roman" w:eastAsia="宋体" w:hAnsi="Times New Roman" w:cs="Times New Roman"/>
          <w:szCs w:val="21"/>
        </w:rPr>
        <w:t>流动性囤积（负债）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＝</w:t>
      </w:r>
      <w:r w:rsidRPr="007E3145">
        <w:rPr>
          <w:rFonts w:ascii="Times New Roman" w:eastAsia="宋体" w:hAnsi="Times New Roman" w:cs="Times New Roman"/>
          <w:szCs w:val="21"/>
        </w:rPr>
        <w:t xml:space="preserve"> </w:t>
      </w:r>
      <w:r w:rsidRPr="007E3145">
        <w:rPr>
          <w:rFonts w:ascii="Times New Roman" w:eastAsia="宋体" w:hAnsi="Times New Roman" w:cs="Times New Roman"/>
          <w:szCs w:val="21"/>
        </w:rPr>
        <w:t>（</w:t>
      </w:r>
      <w:r w:rsidRPr="007E3145">
        <w:rPr>
          <w:rFonts w:ascii="Times New Roman" w:eastAsia="宋体" w:hAnsi="Times New Roman" w:cs="Times New Roman"/>
          <w:szCs w:val="21"/>
        </w:rPr>
        <w:t>+0.5</w:t>
      </w:r>
      <w:r w:rsidRPr="007E3145">
        <w:rPr>
          <w:rFonts w:ascii="Times New Roman" w:eastAsia="宋体" w:hAnsi="Times New Roman" w:cs="Times New Roman"/>
          <w:szCs w:val="21"/>
        </w:rPr>
        <w:t>）</w:t>
      </w:r>
      <w:r w:rsidRPr="007E3145">
        <w:rPr>
          <w:rFonts w:ascii="Times New Roman" w:eastAsia="宋体" w:hAnsi="Times New Roman" w:cs="Times New Roman"/>
          <w:szCs w:val="21"/>
        </w:rPr>
        <w:t xml:space="preserve">× </w:t>
      </w:r>
      <w:r w:rsidRPr="007E3145">
        <w:rPr>
          <w:rFonts w:ascii="Times New Roman" w:eastAsia="宋体" w:hAnsi="Times New Roman" w:cs="Times New Roman"/>
          <w:szCs w:val="21"/>
        </w:rPr>
        <w:t>流动性负债</w:t>
      </w:r>
    </w:p>
    <w:p w14:paraId="13E7B9B8" w14:textId="77777777" w:rsidR="007E3145" w:rsidRPr="007E3145" w:rsidRDefault="007E3145" w:rsidP="007E3145">
      <w:pPr>
        <w:tabs>
          <w:tab w:val="left" w:pos="1522"/>
        </w:tabs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</w:p>
    <w:p w14:paraId="3BCC95FF" w14:textId="77777777" w:rsidR="007E3145" w:rsidRPr="007E3145" w:rsidRDefault="007E3145" w:rsidP="007E3145">
      <w:pPr>
        <w:tabs>
          <w:tab w:val="left" w:pos="1522"/>
        </w:tabs>
        <w:spacing w:line="400" w:lineRule="exact"/>
        <w:rPr>
          <w:rFonts w:ascii="Times New Roman" w:eastAsia="宋体" w:hAnsi="Times New Roman" w:cs="Times New Roman"/>
          <w:szCs w:val="21"/>
        </w:rPr>
      </w:pPr>
    </w:p>
    <w:p w14:paraId="32A31C6C" w14:textId="2E4FFAE2" w:rsidR="007E3145" w:rsidRPr="007E3145" w:rsidRDefault="007E3145" w:rsidP="007E3145">
      <w:pPr>
        <w:tabs>
          <w:tab w:val="left" w:pos="1522"/>
        </w:tabs>
        <w:spacing w:line="400" w:lineRule="exact"/>
        <w:ind w:firstLineChars="200" w:firstLine="422"/>
        <w:rPr>
          <w:rFonts w:ascii="Times New Roman" w:eastAsia="黑体" w:hAnsi="Times New Roman" w:cs="Times New Roman"/>
          <w:b/>
          <w:bCs/>
          <w:szCs w:val="21"/>
        </w:rPr>
      </w:pPr>
      <w:r w:rsidRPr="007E3145">
        <w:rPr>
          <w:rFonts w:ascii="Times New Roman" w:eastAsia="黑体" w:hAnsi="Times New Roman" w:cs="Times New Roman"/>
          <w:b/>
          <w:bCs/>
          <w:szCs w:val="21"/>
        </w:rPr>
        <w:lastRenderedPageBreak/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ab/>
      </w:r>
      <w:r w:rsidRPr="007E3145">
        <w:rPr>
          <w:rFonts w:ascii="Times New Roman" w:eastAsia="黑体" w:hAnsi="Times New Roman" w:cs="Times New Roman"/>
          <w:b/>
          <w:bCs/>
          <w:szCs w:val="21"/>
        </w:rPr>
        <w:t>流动性囤积细分指标归属</w:t>
      </w:r>
    </w:p>
    <w:tbl>
      <w:tblPr>
        <w:tblStyle w:val="TableNormal"/>
        <w:tblW w:w="8705" w:type="dxa"/>
        <w:tblInd w:w="0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2839"/>
        <w:gridCol w:w="2845"/>
      </w:tblGrid>
      <w:tr w:rsidR="007E3145" w:rsidRPr="007E3145" w14:paraId="32CE7A02" w14:textId="77777777" w:rsidTr="007D6CAB">
        <w:trPr>
          <w:trHeight w:val="321"/>
        </w:trPr>
        <w:tc>
          <w:tcPr>
            <w:tcW w:w="5860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36862B55" w14:textId="77777777" w:rsidR="007E3145" w:rsidRPr="007E3145" w:rsidRDefault="007E3145" w:rsidP="007D6CAB">
            <w:pPr>
              <w:pStyle w:val="TableText"/>
              <w:snapToGrid/>
              <w:spacing w:before="56"/>
              <w:ind w:firstLine="43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3145">
              <w:rPr>
                <w:rFonts w:ascii="Times New Roman" w:hAnsi="Times New Roman" w:cs="Times New Roman"/>
                <w:spacing w:val="3"/>
                <w:sz w:val="21"/>
                <w:szCs w:val="21"/>
              </w:rPr>
              <w:t>资产端</w:t>
            </w:r>
          </w:p>
        </w:tc>
        <w:tc>
          <w:tcPr>
            <w:tcW w:w="2845" w:type="dxa"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14:paraId="54393C63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3145">
              <w:rPr>
                <w:rFonts w:ascii="Times New Roman" w:hAnsi="Times New Roman" w:cs="Times New Roman"/>
                <w:spacing w:val="4"/>
                <w:sz w:val="21"/>
                <w:szCs w:val="21"/>
              </w:rPr>
              <w:t>负债端</w:t>
            </w:r>
          </w:p>
        </w:tc>
      </w:tr>
      <w:tr w:rsidR="007E3145" w:rsidRPr="007E3145" w14:paraId="40631306" w14:textId="77777777" w:rsidTr="007D6CAB">
        <w:trPr>
          <w:trHeight w:val="316"/>
        </w:trPr>
        <w:tc>
          <w:tcPr>
            <w:tcW w:w="302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2B629D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流动性（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+0.5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）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72EA3E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非流动性（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-0.5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）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  <w:hideMark/>
          </w:tcPr>
          <w:p w14:paraId="089111C3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流动性（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+0.5</w:t>
            </w: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）</w:t>
            </w:r>
          </w:p>
        </w:tc>
      </w:tr>
      <w:tr w:rsidR="007E3145" w:rsidRPr="007E3145" w14:paraId="4E44E5D5" w14:textId="77777777" w:rsidTr="007D6CAB">
        <w:trPr>
          <w:trHeight w:val="316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33DD94F6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现金及存放中央银行款项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A87BA8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应收款项类投资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189CB127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向中央银行借款</w:t>
            </w:r>
          </w:p>
        </w:tc>
      </w:tr>
      <w:tr w:rsidR="007E3145" w:rsidRPr="007E3145" w14:paraId="2767A15A" w14:textId="77777777" w:rsidTr="007D6CAB">
        <w:trPr>
          <w:trHeight w:val="316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431ECDA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6"/>
                <w:sz w:val="18"/>
                <w:szCs w:val="18"/>
              </w:rPr>
              <w:t>贵金属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58442E" w14:textId="77777777" w:rsidR="007E3145" w:rsidRPr="007E3145" w:rsidRDefault="007E3145" w:rsidP="007D6CAB">
            <w:pPr>
              <w:pStyle w:val="TableText"/>
              <w:snapToGrid/>
              <w:spacing w:before="52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发放贷款及垫款净额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373C8283" w14:textId="77777777" w:rsidR="007E3145" w:rsidRPr="007E3145" w:rsidRDefault="007E3145" w:rsidP="007D6CAB">
            <w:pPr>
              <w:pStyle w:val="TableText"/>
              <w:snapToGrid/>
              <w:spacing w:before="53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拆入资金</w:t>
            </w:r>
          </w:p>
        </w:tc>
      </w:tr>
      <w:tr w:rsidR="007E3145" w:rsidRPr="007E3145" w14:paraId="4A5D389D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DA5B14B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存放同业款项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8F5B8B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可供出售金融资产净额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5EB7C068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吸收存款及同业存放</w:t>
            </w:r>
          </w:p>
        </w:tc>
      </w:tr>
      <w:tr w:rsidR="007E3145" w:rsidRPr="007E3145" w14:paraId="1B58FCA9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7551A8E9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拆出资金净额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C9F698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持有至到期投资净额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5705FA1D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6"/>
                <w:sz w:val="18"/>
                <w:szCs w:val="18"/>
              </w:rPr>
              <w:t>短期借款</w:t>
            </w:r>
          </w:p>
        </w:tc>
      </w:tr>
      <w:tr w:rsidR="007E3145" w:rsidRPr="007E3145" w14:paraId="560CDA11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3FE195DE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交易性金融资产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F4183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长期股权投资净额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31C10C97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交易性金融负债</w:t>
            </w:r>
          </w:p>
        </w:tc>
      </w:tr>
      <w:tr w:rsidR="007E3145" w:rsidRPr="007E3145" w14:paraId="14B70FB3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6169684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衍生金融资产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9925B6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投资性房地产净额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6D489633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衍生金融负债</w:t>
            </w:r>
          </w:p>
        </w:tc>
      </w:tr>
      <w:tr w:rsidR="007E3145" w:rsidRPr="007E3145" w14:paraId="656786EB" w14:textId="77777777" w:rsidTr="007D6CAB">
        <w:trPr>
          <w:trHeight w:val="316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DE21287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9"/>
                <w:sz w:val="18"/>
                <w:szCs w:val="18"/>
              </w:rPr>
              <w:t>买入返售金融资产净额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EDB056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固定资产净额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5D92D7A4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卖出回购金融资产款</w:t>
            </w:r>
          </w:p>
        </w:tc>
      </w:tr>
      <w:tr w:rsidR="007E3145" w:rsidRPr="007E3145" w14:paraId="580CE7AC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4FAFC521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其他应收款净额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2A6213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在建工程净额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660139A2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应付职工薪酬</w:t>
            </w:r>
          </w:p>
        </w:tc>
      </w:tr>
      <w:tr w:rsidR="007E3145" w:rsidRPr="007E3145" w14:paraId="0A32FAC4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022099F0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应收利息净额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E479B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5"/>
                <w:sz w:val="18"/>
                <w:szCs w:val="18"/>
              </w:rPr>
              <w:t>固定资产清理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19CDE0BA" w14:textId="77777777" w:rsidR="007E3145" w:rsidRPr="007E3145" w:rsidRDefault="007E3145" w:rsidP="007D6CAB">
            <w:pPr>
              <w:pStyle w:val="TableText"/>
              <w:snapToGrid/>
              <w:spacing w:before="57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应交税费</w:t>
            </w:r>
          </w:p>
        </w:tc>
      </w:tr>
      <w:tr w:rsidR="007E3145" w:rsidRPr="007E3145" w14:paraId="25ED3681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60CAF7B5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应收股利净额</w:t>
            </w: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8DD808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无形资产净额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0DA59FB9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应付利息</w:t>
            </w:r>
          </w:p>
        </w:tc>
      </w:tr>
      <w:tr w:rsidR="007E3145" w:rsidRPr="007E3145" w14:paraId="15B4343A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850B27B" w14:textId="77777777" w:rsidR="007E3145" w:rsidRPr="007E3145" w:rsidRDefault="007E3145" w:rsidP="007D6CAB">
            <w:pPr>
              <w:jc w:val="center"/>
              <w:rPr>
                <w:rFonts w:eastAsia="楷体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DBD453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6"/>
                <w:sz w:val="18"/>
                <w:szCs w:val="18"/>
              </w:rPr>
              <w:t>商誉净额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0E6D6479" w14:textId="77777777" w:rsidR="007E3145" w:rsidRPr="007E3145" w:rsidRDefault="007E3145" w:rsidP="007D6CAB">
            <w:pPr>
              <w:pStyle w:val="TableText"/>
              <w:snapToGrid/>
              <w:spacing w:before="56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应付股利</w:t>
            </w:r>
          </w:p>
        </w:tc>
      </w:tr>
      <w:tr w:rsidR="007E3145" w:rsidRPr="007E3145" w14:paraId="5CEEF074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D444660" w14:textId="77777777" w:rsidR="007E3145" w:rsidRPr="007E3145" w:rsidRDefault="007E3145" w:rsidP="007D6CAB">
            <w:pPr>
              <w:jc w:val="center"/>
              <w:rPr>
                <w:rFonts w:eastAsia="楷体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4C9847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长期待摊费用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387ADFF8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递延收益</w:t>
            </w: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-</w:t>
            </w: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流动负债</w:t>
            </w:r>
          </w:p>
        </w:tc>
      </w:tr>
      <w:tr w:rsidR="007E3145" w:rsidRPr="007E3145" w14:paraId="2426BE1F" w14:textId="77777777" w:rsidTr="007D6CAB">
        <w:trPr>
          <w:trHeight w:val="317"/>
        </w:trPr>
        <w:tc>
          <w:tcPr>
            <w:tcW w:w="3021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58B774B" w14:textId="77777777" w:rsidR="007E3145" w:rsidRPr="007E3145" w:rsidRDefault="007E3145" w:rsidP="007D6CAB">
            <w:pPr>
              <w:jc w:val="center"/>
              <w:rPr>
                <w:rFonts w:eastAsia="楷体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6C5A53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8"/>
                <w:sz w:val="18"/>
                <w:szCs w:val="18"/>
              </w:rPr>
              <w:t>递延所得税资产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</w:tcBorders>
            <w:vAlign w:val="center"/>
            <w:hideMark/>
          </w:tcPr>
          <w:p w14:paraId="71D2196F" w14:textId="77777777" w:rsidR="007E3145" w:rsidRPr="007E3145" w:rsidRDefault="007E3145" w:rsidP="007D6CAB">
            <w:pPr>
              <w:pStyle w:val="TableText"/>
              <w:snapToGrid/>
              <w:spacing w:before="55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其他应付款</w:t>
            </w:r>
          </w:p>
        </w:tc>
      </w:tr>
      <w:tr w:rsidR="007E3145" w:rsidRPr="007E3145" w14:paraId="5EC38D54" w14:textId="77777777" w:rsidTr="007D6CAB">
        <w:trPr>
          <w:trHeight w:val="321"/>
        </w:trPr>
        <w:tc>
          <w:tcPr>
            <w:tcW w:w="3021" w:type="dxa"/>
            <w:tcBorders>
              <w:top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587C68" w14:textId="77777777" w:rsidR="007E3145" w:rsidRPr="007E3145" w:rsidRDefault="007E3145" w:rsidP="007D6CAB">
            <w:pPr>
              <w:jc w:val="center"/>
              <w:rPr>
                <w:rFonts w:eastAsia="楷体"/>
                <w:sz w:val="18"/>
                <w:szCs w:val="18"/>
              </w:rPr>
            </w:pPr>
          </w:p>
        </w:tc>
        <w:tc>
          <w:tcPr>
            <w:tcW w:w="283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A9971E" w14:textId="77777777" w:rsidR="007E3145" w:rsidRPr="007E3145" w:rsidRDefault="007E3145" w:rsidP="007D6CAB">
            <w:pPr>
              <w:pStyle w:val="TableText"/>
              <w:snapToGrid/>
              <w:spacing w:before="54"/>
              <w:jc w:val="center"/>
              <w:rPr>
                <w:rFonts w:ascii="Times New Roman" w:eastAsia="楷体" w:hAnsi="Times New Roman" w:cs="Times New Roman"/>
                <w:sz w:val="18"/>
                <w:szCs w:val="18"/>
              </w:rPr>
            </w:pPr>
            <w:r w:rsidRPr="007E3145">
              <w:rPr>
                <w:rFonts w:ascii="Times New Roman" w:eastAsia="楷体" w:hAnsi="Times New Roman" w:cs="Times New Roman"/>
                <w:spacing w:val="7"/>
                <w:sz w:val="18"/>
                <w:szCs w:val="18"/>
              </w:rPr>
              <w:t>其他资产</w:t>
            </w: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  <w:hideMark/>
          </w:tcPr>
          <w:p w14:paraId="7317451E" w14:textId="77777777" w:rsidR="007E3145" w:rsidRPr="007E3145" w:rsidRDefault="007E3145" w:rsidP="007D6CAB">
            <w:pPr>
              <w:jc w:val="center"/>
              <w:rPr>
                <w:rFonts w:eastAsia="楷体"/>
                <w:sz w:val="18"/>
                <w:szCs w:val="18"/>
              </w:rPr>
            </w:pPr>
          </w:p>
        </w:tc>
      </w:tr>
    </w:tbl>
    <w:p w14:paraId="0F11AC0E" w14:textId="77777777" w:rsidR="007E3145" w:rsidRDefault="007E3145" w:rsidP="007E3145">
      <w:pPr>
        <w:tabs>
          <w:tab w:val="left" w:pos="1522"/>
        </w:tabs>
        <w:spacing w:line="400" w:lineRule="exact"/>
        <w:rPr>
          <w:rFonts w:ascii="Times New Roman" w:eastAsia="宋体" w:hAnsi="Times New Roman" w:cs="Times New Roman"/>
          <w:szCs w:val="21"/>
        </w:rPr>
      </w:pPr>
    </w:p>
    <w:p w14:paraId="15F0BD0A" w14:textId="0C441719" w:rsidR="00C62A88" w:rsidRPr="00C62A88" w:rsidRDefault="00C62A88" w:rsidP="007E3145">
      <w:pPr>
        <w:tabs>
          <w:tab w:val="left" w:pos="1522"/>
        </w:tabs>
        <w:spacing w:line="40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C62A88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三、声明</w:t>
      </w:r>
    </w:p>
    <w:p w14:paraId="6EB56CEC" w14:textId="4A50D8A0" w:rsidR="00C62A88" w:rsidRDefault="00C62A88" w:rsidP="00C62A88">
      <w:pPr>
        <w:tabs>
          <w:tab w:val="left" w:pos="1522"/>
        </w:tabs>
        <w:spacing w:line="40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本文</w:t>
      </w:r>
      <w:r w:rsidRPr="00C62A88">
        <w:rPr>
          <w:rFonts w:ascii="Times New Roman" w:eastAsia="宋体" w:hAnsi="Times New Roman" w:cs="Times New Roman" w:hint="eastAsia"/>
          <w:szCs w:val="21"/>
        </w:rPr>
        <w:t>作者</w:t>
      </w:r>
      <w:r>
        <w:rPr>
          <w:rFonts w:ascii="Times New Roman" w:eastAsia="宋体" w:hAnsi="Times New Roman" w:cs="Times New Roman" w:hint="eastAsia"/>
          <w:szCs w:val="21"/>
        </w:rPr>
        <w:t>一致</w:t>
      </w:r>
      <w:r w:rsidRPr="00C62A88">
        <w:rPr>
          <w:rFonts w:ascii="Times New Roman" w:eastAsia="宋体" w:hAnsi="Times New Roman" w:cs="Times New Roman" w:hint="eastAsia"/>
          <w:szCs w:val="21"/>
        </w:rPr>
        <w:t>承诺</w:t>
      </w:r>
      <w:r>
        <w:rPr>
          <w:rFonts w:ascii="Times New Roman" w:eastAsia="宋体" w:hAnsi="Times New Roman" w:cs="Times New Roman" w:hint="eastAsia"/>
          <w:szCs w:val="21"/>
        </w:rPr>
        <w:t>：</w:t>
      </w:r>
      <w:r w:rsidRPr="00C62A88">
        <w:rPr>
          <w:rFonts w:ascii="Times New Roman" w:eastAsia="宋体" w:hAnsi="Times New Roman" w:cs="Times New Roman" w:hint="eastAsia"/>
          <w:szCs w:val="21"/>
        </w:rPr>
        <w:t>向编辑部提交的全部资料不泄露国家秘密、商业机密，不侵犯个人隐私及第三方权益。如存在违法违规行为，由</w:t>
      </w:r>
      <w:r>
        <w:rPr>
          <w:rFonts w:ascii="Times New Roman" w:eastAsia="宋体" w:hAnsi="Times New Roman" w:cs="Times New Roman" w:hint="eastAsia"/>
          <w:szCs w:val="21"/>
        </w:rPr>
        <w:t>本文</w:t>
      </w:r>
      <w:r w:rsidRPr="00C62A88">
        <w:rPr>
          <w:rFonts w:ascii="Times New Roman" w:eastAsia="宋体" w:hAnsi="Times New Roman" w:cs="Times New Roman" w:hint="eastAsia"/>
          <w:szCs w:val="21"/>
        </w:rPr>
        <w:t>作者承担所有责任与后果。</w:t>
      </w:r>
    </w:p>
    <w:p w14:paraId="21B32F6F" w14:textId="7D89DA4D" w:rsidR="00C62A88" w:rsidRPr="00C62A88" w:rsidRDefault="00C62A88" w:rsidP="00C62A88">
      <w:pPr>
        <w:tabs>
          <w:tab w:val="left" w:pos="1522"/>
        </w:tabs>
        <w:spacing w:line="400" w:lineRule="exact"/>
        <w:ind w:firstLineChars="200" w:firstLine="422"/>
        <w:rPr>
          <w:rFonts w:ascii="Times New Roman" w:eastAsia="宋体" w:hAnsi="Times New Roman" w:cs="Times New Roman"/>
          <w:b/>
          <w:bCs/>
          <w:szCs w:val="21"/>
        </w:rPr>
      </w:pPr>
      <w:r w:rsidRPr="00C62A88">
        <w:rPr>
          <w:rFonts w:ascii="Times New Roman" w:eastAsia="宋体" w:hAnsi="Times New Roman" w:cs="Times New Roman" w:hint="eastAsia"/>
          <w:b/>
          <w:bCs/>
          <w:szCs w:val="21"/>
        </w:rPr>
        <w:t>作者签字：</w:t>
      </w:r>
    </w:p>
    <w:p w14:paraId="63280A79" w14:textId="7E9EEAFF" w:rsidR="007E3145" w:rsidRPr="007E3145" w:rsidRDefault="00C62A88" w:rsidP="00BB2354">
      <w:pPr>
        <w:ind w:firstLineChars="200" w:firstLine="42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AA2E20" wp14:editId="68B854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506885" cy="1224643"/>
            <wp:effectExtent l="0" t="0" r="0" b="0"/>
            <wp:wrapNone/>
            <wp:docPr id="7305123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512367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160" cy="12264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3145" w:rsidRPr="007E3145" w:rsidSect="00155BF0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353A8" w14:textId="77777777" w:rsidR="000637D6" w:rsidRDefault="000637D6" w:rsidP="00BB2354">
      <w:r>
        <w:separator/>
      </w:r>
    </w:p>
  </w:endnote>
  <w:endnote w:type="continuationSeparator" w:id="0">
    <w:p w14:paraId="319475D1" w14:textId="77777777" w:rsidR="000637D6" w:rsidRDefault="000637D6" w:rsidP="00B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8DFBA" w14:textId="77777777" w:rsidR="000637D6" w:rsidRDefault="000637D6" w:rsidP="00BB2354">
      <w:r>
        <w:separator/>
      </w:r>
    </w:p>
  </w:footnote>
  <w:footnote w:type="continuationSeparator" w:id="0">
    <w:p w14:paraId="2BB182BE" w14:textId="77777777" w:rsidR="000637D6" w:rsidRDefault="000637D6" w:rsidP="00BB2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FD5"/>
    <w:rsid w:val="000637D6"/>
    <w:rsid w:val="00150867"/>
    <w:rsid w:val="00155BF0"/>
    <w:rsid w:val="00397CA6"/>
    <w:rsid w:val="00492143"/>
    <w:rsid w:val="00673DED"/>
    <w:rsid w:val="0073027B"/>
    <w:rsid w:val="007E3145"/>
    <w:rsid w:val="00866F97"/>
    <w:rsid w:val="008F1447"/>
    <w:rsid w:val="009C5607"/>
    <w:rsid w:val="00B45450"/>
    <w:rsid w:val="00BB2354"/>
    <w:rsid w:val="00C62A88"/>
    <w:rsid w:val="00C65FD5"/>
    <w:rsid w:val="00CB55C4"/>
    <w:rsid w:val="00D771A2"/>
    <w:rsid w:val="00ED3EC9"/>
    <w:rsid w:val="00EF4656"/>
    <w:rsid w:val="00F2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B3ABD5"/>
  <w15:chartTrackingRefBased/>
  <w15:docId w15:val="{E1BF43FE-4B6F-4A04-8513-DCF0F6D7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3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23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23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2354"/>
    <w:rPr>
      <w:sz w:val="18"/>
      <w:szCs w:val="18"/>
    </w:rPr>
  </w:style>
  <w:style w:type="paragraph" w:customStyle="1" w:styleId="TableText">
    <w:name w:val="Table Text"/>
    <w:basedOn w:val="a"/>
    <w:semiHidden/>
    <w:rsid w:val="007E3145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color w:val="000000"/>
      <w:kern w:val="0"/>
      <w:sz w:val="20"/>
      <w:szCs w:val="20"/>
    </w:rPr>
  </w:style>
  <w:style w:type="table" w:customStyle="1" w:styleId="TableNormal">
    <w:name w:val="Table Normal"/>
    <w:basedOn w:val="a1"/>
    <w:rsid w:val="007E3145"/>
    <w:pPr>
      <w:widowControl/>
      <w:jc w:val="left"/>
    </w:pPr>
    <w:rPr>
      <w:rFonts w:ascii="Times New Roman" w:eastAsia="Times New Roman" w:hAnsi="Times New Roman" w:cs="Times New Roman"/>
      <w:kern w:val="0"/>
      <w:sz w:val="20"/>
      <w:szCs w:val="20"/>
    </w:rPr>
    <w:tblPr>
      <w:tblInd w:w="0" w:type="nil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简 李</dc:creator>
  <cp:keywords/>
  <dc:description/>
  <cp:lastModifiedBy>简 李</cp:lastModifiedBy>
  <cp:revision>5</cp:revision>
  <dcterms:created xsi:type="dcterms:W3CDTF">2024-09-28T07:03:00Z</dcterms:created>
  <dcterms:modified xsi:type="dcterms:W3CDTF">2024-09-29T13:42:00Z</dcterms:modified>
</cp:coreProperties>
</file>